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LFGB — Verbote zum Schutz der Gesundheit</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Es ist verboten,</w:t>
      </w:r>
    </w:p>
    <w:p>
      <w:pPr>
        <w:ind w:left="420"/>
      </w:pPr>
      <w:r>
        <w:t xml:space="preserve">1. Bedarfsgegenstände für andere derart herzustellen oder zu behandeln, dass sie bei bestimmungsgemäßem oder vorauszusehendem Gebrauch geeignet sind, die Gesundheit durch ihre stoffliche Zusammensetzung, insbesondere durch toxikologisch wirksame Stoffe oder durch Verunreinigungen, zu schädigen,</w:t>
      </w:r>
    </w:p>
    <w:p>
      <w:pPr>
        <w:ind w:left="420"/>
      </w:pPr>
      <w:r>
        <w:t xml:space="preserve">2. Gegenstände oder Mittel, die bei bestimmungsgemäßem oder vorauszusehendem Gebrauch geeignet sind, die Gesundheit durch ihre stoffliche Zusammensetzung, insbesondere durch toxikologisch wirksame Stoffe oder durch Verunreinigungen, zu schädigen, als Bedarfsgegenstände in den Verkehr zu bringen,</w:t>
      </w:r>
    </w:p>
    <w:p>
      <w:pPr>
        <w:ind w:left="420"/>
      </w:pPr>
      <w:r>
        <w:t xml:space="preserve">3. Bedarfsgegenstände im Sinne des § 2 Absatz 6 Satz 1 Nummer 1 bei dem Herstellen oder Behandeln von Lebensmitteln so zu verwenden, dass die Bedarfsgegenstände geeignet sind, bei der Aufnahme der Lebensmittel die Gesundheit zu schädigen.</w:t>
      </w:r>
    </w:p>
    <w:p>
      <w:r>
        <w:rPr>
          <w:color w:val="555555"/>
          <w:sz w:val="17"/>
        </w:rPr>
        <w:t xml:space="preserve">Zitiervorschlag: § 30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