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LFGB — Weitere Begriffsbestimmungen</w:t>
      </w:r>
    </w:p>
    <w:p>
      <w:r>
        <w:rPr>
          <w:color w:val="555555"/>
          <w:sz w:val="18"/>
        </w:rPr>
        <w:t xml:space="preserve">Lebensmittel- und Futtermittelgesetzbuch</w:t>
      </w:r>
    </w:p>
    <w:p>
      <w:r>
        <w:rPr>
          <w:color w:val="555555"/>
          <w:sz w:val="18"/>
        </w:rPr>
        <w:t xml:space="preserve">Stand: 14.03.2026 (konsolidierte Textfassung, kein amtliches Inkrafttretensdatum)</w:t>
      </w:r>
    </w:p>
    <w:p>
      <w:r>
        <w:t xml:space="preserve">(1) Im Sinne dieses Gesetzes sind:</w:t>
      </w:r>
    </w:p>
    <w:p>
      <w:pPr>
        <w:ind w:left="420"/>
      </w:pPr>
      <w:r>
        <w:t xml:space="preserve">1. Herstellen: das Gewinnen, einschließlich des Schlachtens oder Erlegens lebender Tiere, deren Fleisch als Lebensmittel zu dienen bestimmt ist, das Herstellen, das Zubereiten, das Be- und Verarbeiten und das Mischen,</w:t>
      </w:r>
    </w:p>
    <w:p>
      <w:pPr>
        <w:ind w:left="420"/>
      </w:pPr>
      <w:r>
        <w:t xml:space="preserve">2. Behandeln: das Wiegen, Messen, Um- und Abfüllen, Stempeln, Bedrucken, Verpacken, Kühlen, Gefrieren, Tiefgefrieren, Auftauen, Lagern, Aufbewahren, Befördern sowie jede sonstige Tätigkeit, die nicht als Herstellen oder Inverkehrbringen anzusehen ist,</w:t>
      </w:r>
    </w:p>
    <w:p>
      <w:pPr>
        <w:ind w:left="420"/>
      </w:pPr>
      <w:r>
        <w:t xml:space="preserve">3. Verzehren: das Aufnehmen von Lebensmitteln durch den Menschen durch Essen, Kauen, Trinken sowie durch jede sonstige Zufuhr von Stoffen in den Magen,</w:t>
      </w:r>
    </w:p>
    <w:p>
      <w:pPr>
        <w:ind w:left="420"/>
      </w:pPr>
      <w:r>
        <w:t xml:space="preserve">4. Auslösewert: Grenzwert für den Gehalt an einem gesundheitlich nicht erwünschten Stoff, der in oder auf einem Lebensmittel enthalten ist, bei dessen Überschreitung Untersuchungen vorgenommen werden müssen, um die Ursachen für das Vorhandensein des jeweiligen Stoffs mit dem Ziel zu ermitteln, Maßnahmen zu seiner Verringerung oder Beseitigung einzuleiten,</w:t>
      </w:r>
    </w:p>
    <w:p>
      <w:pPr>
        <w:ind w:left="420"/>
      </w:pPr>
      <w:r>
        <w:t xml:space="preserve">5. (weggefallen)</w:t>
      </w:r>
    </w:p>
    <w:p>
      <w:pPr>
        <w:ind w:left="420"/>
      </w:pPr>
      <w:r>
        <w:t xml:space="preserve">6. unerwünschte Stoffe: Stoffe – außer Tierseuchenerregern –, die in oder auf Futtermitteln enthalten sind und</w:t>
      </w:r>
    </w:p>
    <w:p>
      <w:pPr>
        <w:ind w:left="780"/>
      </w:pPr>
      <w:r>
        <w:t xml:space="preserve">a) als Rückstände in von Nutztieren gewonnenen Lebensmitteln oder sonstigen Produkten eine Gefahr für die menschliche Gesundheit darstellen,</w:t>
      </w:r>
    </w:p>
    <w:p>
      <w:pPr>
        <w:ind w:left="780"/>
      </w:pPr>
      <w:r>
        <w:t xml:space="preserve">b) eine Gefahr für die tierische Gesundheit darstellen,</w:t>
      </w:r>
    </w:p>
    <w:p>
      <w:pPr>
        <w:ind w:left="780"/>
      </w:pPr>
      <w:r>
        <w:t xml:space="preserve">c) vom Tier ausgeschieden werden und als solche eine Gefahr für den Naturhaushalt darstellen oder</w:t>
      </w:r>
    </w:p>
    <w:p>
      <w:pPr>
        <w:ind w:left="780"/>
      </w:pPr>
      <w:r>
        <w:t xml:space="preserve">d) die Leistung von Nutztieren oder als Rückstände in von Nutztieren gewonnenen Lebensmitteln oder sonstigen Produkten die Qualität dieser Lebensmittel oder Produkte nachteilig beeinflussen</w:t>
      </w:r>
    </w:p>
    <w:p>
      <w:pPr>
        <w:ind w:left="420"/>
      </w:pPr>
      <w:r>
        <w:t xml:space="preserve">können,</w:t>
      </w:r>
    </w:p>
    <w:p>
      <w:pPr>
        <w:ind w:left="420"/>
      </w:pPr>
      <w:r>
        <w:t xml:space="preserve">7. Mittelrückstände: Rückstände an Pflanzenschutzmitteln im Sinne des Pflanzenschutzgesetzes, Vorratsschutzmitteln oder Schädlingsbekämpfungsmitteln, soweit sie in Rechtsakten der Europäischen Gemeinschaft oder der Europäischen Union im Anwendungsbereich dieses Gesetzes aufgeführt sind und die in oder auf Futtermitteln vorhanden sind,</w:t>
      </w:r>
    </w:p>
    <w:p>
      <w:pPr>
        <w:ind w:left="420"/>
      </w:pPr>
      <w:r>
        <w:t xml:space="preserve">8. Naturhaushalt: seine Bestandteile Boden, Wasser, Luft, Klima, Tiere und Pflanzen sowie das Wirkungsgefüge zwischen ihnen,</w:t>
      </w:r>
    </w:p>
    <w:p>
      <w:pPr>
        <w:ind w:left="420"/>
      </w:pPr>
      <w:r>
        <w:t xml:space="preserve">9. Nutztiere: Tiere einer Art, die üblicherweise zum Zweck der Gewinnung von Lebensmitteln oder sonstigen Produkten gehalten wird, sowie Pferde,</w:t>
      </w:r>
    </w:p>
    <w:p>
      <w:pPr>
        <w:ind w:left="420"/>
      </w:pPr>
      <w:r>
        <w:t xml:space="preserve">10. Aktionsgrenzwert: Grenzwert für den Gehalt an einem unerwünschten Stoff, bei dessen Überschreitung Untersuchungen vorgenommen werden müssen, um die Ursachen für das Vorhandensein des unerwünschten Stoffs mit dem Ziel zu ermitteln, Maßnahmen zu seiner Verringerung oder Beseitigung einzuleiten.</w:t>
      </w:r>
    </w:p>
    <w:p>
      <w:r>
        <w:t xml:space="preserve">(2) Im Anwendungsbereich dieses Gesetzes umfasst der Begriff des Verwendens eines Mittels zum Tätowieren auch die Tätigkeit des Tätowierens.</w:t>
      </w:r>
    </w:p>
    <w:p>
      <w:r>
        <w:t xml:space="preserve">(3) Im Anwendungsbereich dieses Gesetzes gelten die Begriffsbestimmungen der Verordnung (EG) Nr. 178/2002 mit den Maßgaben, dass</w:t>
      </w:r>
    </w:p>
    <w:p>
      <w:pPr>
        <w:ind w:left="420"/>
      </w:pPr>
      <w:r>
        <w:t xml:space="preserve">1. Futtermittelunternehmen im Sinne des Artikels 3 Nummer 5 der Verordnung (EG) Nr. 178/2002 auch Unternehmen sind, deren Tätigkeit sich auf Futtermittel bezieht, die zur oralen Tierfütterung von nicht der Lebensmittelgewinnung dienenden Tieren bestimmt sind,</w:t>
      </w:r>
    </w:p>
    <w:p>
      <w:pPr>
        <w:ind w:left="420"/>
      </w:pPr>
      <w:r>
        <w:t xml:space="preserve">2. Futtermittelunternehmer im Sinne des Artikels 3 Nummer 6 der Verordnung (EG) Nr. 178/2002 auch derjenige ist, dessen Verantwortung sich auf Futtermittel bezieht, die zur oralen Tierfütterung von nicht der Lebensmittelgewinnung dienenden Tieren bestimmt sind,</w:t>
      </w:r>
    </w:p>
    <w:p>
      <w:pPr>
        <w:ind w:left="420"/>
      </w:pPr>
      <w:r>
        <w:t xml:space="preserve">3. für das Inverkehrbringen von Mitteln zum Tätowieren und Bedarfsgegenständen Artikel 3 Nummer 8 der Verordnung (EG) Nr. 178/2002 entsprechend gilt,</w:t>
      </w:r>
    </w:p>
    <w:p>
      <w:pPr>
        <w:ind w:left="420"/>
      </w:pPr>
      <w:r>
        <w:t xml:space="preserve">4. Endverbraucher im Sinne von Artikel 3 Nummer 18 der Verordnung (EG) Nr. 178/2002 auch eine Person ist, an die ein Mittel zum Tätowieren oder ein Bedarfsgegenstand zur persönlichen Verwendung oder zur Verwendung im eigenen Haushalt abgegeben wird, wobei Gewerbetreibende, soweit sie ein Mittel zum Tätowieren oder einen Bedarfsgegenstand zum Verbrauch innerhalb ihrer Betriebsstätte beziehen, dem Endverbraucher gleichstehen.</w:t>
      </w:r>
    </w:p>
    <w:p>
      <w:r>
        <w:t xml:space="preserve">(4) Im Anwendungsbereich dieses Gesetzes gelten Verpflegungseinrichtungen der Bundeswehr auch dann, wenn sie nicht gewerblich tätig sind, als Anbieter von Gemeinschaftsverpflegung im Sinne des Artikels 2 Absatz 2 Buchstabe d der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L 304 vom 22.11.2011, S. 18; L 331 vom 18.11.2014, S. 41; L 50 vom 21.2.2015, S. 48; L 266 vom 30.9.2016, S. 7), die zuletzt durch die Verordnung (EU) 2015/2283 (ABl. L 327 vom 11.12.2015, S. 1) geändert worden ist.</w:t>
      </w:r>
    </w:p>
    <w:p>
      <w:r>
        <w:rPr>
          <w:color w:val="555555"/>
          <w:sz w:val="17"/>
        </w:rPr>
        <w:t xml:space="preserve">Zitiervorschlag: § 3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