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LFGB — Ermächtigungen zum Schutz der Gesundheit</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im Einvernehmen mit dem Bundesministerium für Wirtschaft und Energie durch Rechtsverordnung mit Zustimmung des Bundesrates, soweit es zur Erfüllung der in § 1 Absatz 1 Nummer 1, auch in Verbindung mit § 1 Absatz 3, genannten Zwecke erforderlich ist,</w:t>
      </w:r>
    </w:p>
    <w:p>
      <w:pPr>
        <w:ind w:left="420"/>
      </w:pPr>
      <w:r>
        <w:t xml:space="preserve">1. Anforderungen an die mikrobiologische Beschaffenheit bestimmter Mittel zum Tätowieren oder bestimmter kosmetischer Mittel zu stellen,</w:t>
      </w:r>
    </w:p>
    <w:p>
      <w:pPr>
        <w:ind w:left="420"/>
      </w:pPr>
      <w:r>
        <w:t xml:space="preserve">2. für Mittel zum Tätowieren oder für kosmetische Mittel Vorschriften zu erlassen, die den in § 32 Absatz 1 Nummer 1 bis 5 und 8 für Bedarfsgegenstände vorgesehenen Regelungen entsprechen.</w:t>
      </w:r>
    </w:p>
    <w:p>
      <w:r>
        <w:t xml:space="preserve">(2) Mittel zum Tätowieren oder kosmetische Mittel, die einer nach Absatz 1 Nummer 1 oder nach Absatz 1 Nummer 2 in Verbindung mit § 32 Absatz 1 Nummer 1 bis 4 Buchstabe a oder Nummer 5 erlassenen Rechtsverordnung nicht entsprechen, dürfen nicht in den Verkehr gebracht werden.</w:t>
      </w:r>
    </w:p>
    <w:p>
      <w:r>
        <w:t xml:space="preserve">(3) Das Bundesministerium wird ermächtigt, im Einvernehmen mit dem Bundesministerium für Wirtschaft und Energie durch Rechtsverordnung mit Zustimmung des Bundesrates, soweit es für eine medizinische Behandlung bei gesundheitlichen Beeinträchtigungen, die auf die Einwirkung von Mitteln zum Tätowieren oder von kosmetischen Mitteln zurückgehen können, erforderlich ist,</w:t>
      </w:r>
    </w:p>
    <w:p>
      <w:pPr>
        <w:ind w:left="420"/>
      </w:pPr>
      <w:r>
        <w:t xml:space="preserve">1. vorzuschreiben, dass von dem Hersteller oder demjenigen, der das Mittel zum Tätowieren oder das kosmetische Mittel in den Verkehr bringt, dem Bundesamt für Verbraucherschutz und Lebensmittelsicherheit bestimmte Angaben über das Mittel zum Tätowieren oder das kosmetische Mittel, insbesondere Angaben zu seiner Identifizierung, über seine Verwendungszwecke, über die darin enthaltenen Stoffe und deren Menge sowie jede Veränderung dieser Angaben mitzuteilen sind, und die Einzelheiten über Form, Inhalt, Ausgestaltung und Zeitpunkt der Mitteilung zu bestimmen,</w:t>
      </w:r>
    </w:p>
    <w:p>
      <w:pPr>
        <w:ind w:left="420"/>
      </w:pPr>
      <w:r>
        <w:t xml:space="preserve">2. zu bestimmen, dass das Bundesamt für Verbraucherschutz und Lebensmittelsicherheit die Angaben nach Nummer 1 an die von den Ländern zu bezeichnenden medizinischen Einrichtungen, die Erkenntnisse über die gesundheitlichen Auswirkungen von Mitteln zum Tätowieren oder von kosmetischen Mitteln sammeln und auswerten und bei Stoff bezogenen gesundheitlichen Beeinträchtigungen durch Beratung und Behandlung Hilfe leisten (Informations- und Behandlungszentren für Vergiftungen), weiterleiten kann,</w:t>
      </w:r>
    </w:p>
    <w:p>
      <w:pPr>
        <w:ind w:left="420"/>
      </w:pPr>
      <w:r>
        <w:t xml:space="preserve">3. zu bestimmen, dass die Informations- und Behandlungszentren für Vergiftungen dem Bundesamt für Verbraucherschutz und Lebensmittelsicherheit über Erkenntnisse aufgrund ihrer Tätigkeit berichten, die für die Beratung bei und die Behandlung von Stoff bezogenen gesundheitlichen Beeinträchtigungen von allgemeiner Bedeutung sind.</w:t>
      </w:r>
    </w:p>
    <w:p>
      <w:r>
        <w:t xml:space="preserve">Die Angaben nach Satz 1 Nummer 1 und 2 sind vertraulich zu behandeln und dürfen nur zu dem Zweck verwendet werden, Anfragen zur Behandlung von gesundheitlichen Beeinträchtigungen zu beantworten. In Rechtsverordnungen nach Satz 1 Nummer 1 und 2 können nähere Bestimmungen über die vertrauliche Behandlung und die Zweckbindung nach Satz 2 erlassen werden.</w:t>
      </w:r>
    </w:p>
    <w:p>
      <w:r>
        <w:rPr>
          <w:color w:val="555555"/>
          <w:sz w:val="17"/>
        </w:rPr>
        <w:t xml:space="preserve">Zitiervorschlag: § 28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