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LFGB — Gewähr für bestimmte Anforderungen</w:t>
      </w:r>
    </w:p>
    <w:p>
      <w:r>
        <w:rPr>
          <w:color w:val="555555"/>
          <w:sz w:val="18"/>
        </w:rPr>
        <w:t xml:space="preserve">Lebensmittel- und Futtermittelgesetzbuch</w:t>
      </w:r>
    </w:p>
    <w:p>
      <w:r>
        <w:rPr>
          <w:color w:val="555555"/>
          <w:sz w:val="18"/>
        </w:rPr>
        <w:t xml:space="preserve">Stand: 07.11.2021 (konsolidierte Textfassung, kein amtliches Inkrafttretensdatum)</w:t>
      </w:r>
    </w:p>
    <w:p>
      <w:r>
        <w:t xml:space="preserve">Der Verkäufer eines Futtermittels übernimmt die Gewähr dafür, dass das Futtermittel die in Artikel 4 Absatz 2 Unterabsatz 1 Buchstabe a der Verordnung (EG) Nr. 767/2009 bezeichneten Anforderungen erfüllt.</w:t>
      </w:r>
    </w:p>
    <w:p>
      <w:r>
        <w:rPr>
          <w:color w:val="555555"/>
          <w:sz w:val="17"/>
        </w:rPr>
        <w:t xml:space="preserve">Zitiervorschlag: § 24 LFGB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https://recht.nulegal.eu/gesetze/LFGB/24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