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LFGB — Weitere Ermächtigungen zum Schutz der Gesundheit</w:t>
      </w:r>
    </w:p>
    <w:p>
      <w:r>
        <w:rPr>
          <w:color w:val="555555"/>
          <w:sz w:val="18"/>
        </w:rPr>
        <w:t xml:space="preserve">Lebensmittel- und Futtermittelgesetzbuch</w:t>
      </w:r>
    </w:p>
    <w:p>
      <w:r>
        <w:rPr>
          <w:color w:val="555555"/>
          <w:sz w:val="18"/>
        </w:rPr>
        <w:t xml:space="preserve">Stand: 07.11.2021 (konsolidierte Textfassung, kein amtliches Inkrafttretensdatum)</w:t>
      </w:r>
    </w:p>
    <w:p>
      <w:r>
        <w:t xml:space="preserve">Das Bundesministerium wird ermächtigt, durch Rechtsverordnung mit Zustimmung des Bundesrates, soweit es zur Erfüllung der in § 1 Absatz 1 Nummer 1, 2, 3 Buchstabe b oder Nummer 4, jeweils auch in Verbindung mit § 1 Absatz 3, genannten Zwecke erforderlich ist,</w:t>
      </w:r>
    </w:p>
    <w:p>
      <w:pPr>
        <w:ind w:left="420"/>
      </w:pPr>
      <w:r>
        <w:t xml:space="preserve">1. den Höchstgehalt an unerwünschten Stoffen festzusetzen,</w:t>
      </w:r>
    </w:p>
    <w:p>
      <w:pPr>
        <w:ind w:left="420"/>
      </w:pPr>
      <w:r>
        <w:t xml:space="preserve">2. die hygienischen Anforderungen zu erlassen, die eine einwandfreie Beschaffenheit der Futtermittel von ihrer Herstellung bis zur Verfütterung sicherstellen,</w:t>
      </w:r>
    </w:p>
    <w:p>
      <w:pPr>
        <w:ind w:left="420"/>
      </w:pPr>
      <w:r>
        <w:t xml:space="preserve">3. Anforderungen an die Beschaffenheit und Ausstattung von Räumen, Anlagen und Behältnissen zu stellen, in denen Futtermittel hergestellt oder behandelt werden,</w:t>
      </w:r>
    </w:p>
    <w:p>
      <w:pPr>
        <w:ind w:left="420"/>
      </w:pPr>
      <w:r>
        <w:t xml:space="preserve">4. die Ausstattung, Reinigung oder Desinfektion der in Nummer 3 bezeichneten Räume, Anlagen oder Behältnisse, der zur Beförderung von Futtermitteln dienenden Transportmittel, der bei einer solchen Beförderung benutzten Behältnisse und Gerätschaften und der Ladeplätze sowie die Führung von Nachweisen über die Reinigung und Desinfektion zu regeln,</w:t>
      </w:r>
    </w:p>
    <w:p>
      <w:pPr>
        <w:ind w:left="420"/>
      </w:pPr>
      <w:r>
        <w:t xml:space="preserve">5. das Verwenden oder das Inverkehrbringen von Gegenständen zu verbieten oder zu beschränken, die dazu bestimmt sind, bei dem Herstellen, Behandeln, Inverkehrbringen oder Verfüttern von Futtermitteln verwendet zu werden und dabei mit Futtermitteln in Berührung kommen oder auf diese einwirken, wenn zu befürchten ist, dass gesundheitlich nicht unbedenkliche Anteile eines Stoffs in ein Futtermittel übergehen,</w:t>
      </w:r>
    </w:p>
    <w:p>
      <w:pPr>
        <w:ind w:left="420"/>
      </w:pPr>
      <w:r>
        <w:t xml:space="preserve">6. das Verwenden oder das Inverkehrbringen von Materialien oder Gegenständen zu verbieten oder zu beschränken, die dazu bestimmt sind, beim Halten von Tieren, die der Lebensmittelgewinnung dienen, verwendet zu werden und dabei mit diesen Tieren in Berührung zu kommen und bei denen nicht ausgeschlossen werden kann, dass sie von Tieren aufgenommen werden, wenn zu befürchten ist, dass gesundheitlich nicht unbedenkliche Anteile eines Stoffs</w:t>
      </w:r>
    </w:p>
    <w:p>
      <w:pPr>
        <w:ind w:left="780"/>
      </w:pPr>
      <w:r>
        <w:t xml:space="preserve">a) in das Tier übergehen und dies für die von diesen Tieren gewonnenen Lebensmittel ein Verkehrsverbot zur Folge haben kann, oder</w:t>
      </w:r>
    </w:p>
    <w:p>
      <w:pPr>
        <w:ind w:left="780"/>
      </w:pPr>
      <w:r>
        <w:t xml:space="preserve">b) auf das Tier einwirken und dies eine Schädigung der Gesundheit des Tieres zur Folge haben kann.</w:t>
      </w:r>
    </w:p>
    <w:p>
      <w:r>
        <w:rPr>
          <w:color w:val="555555"/>
          <w:sz w:val="17"/>
        </w:rPr>
        <w:t xml:space="preserve">Zitiervorschlag: § 23 LFGB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https://recht.nulegal.eu/gesetze/LFGB/23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