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LFGB — Verbot der krankheitsbezogenen Werbung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(1) Es ist verboten, beim Verkehr mit Futtermittelzusatzstoffen oder Vormischungen oder in der Werbung für sie allgemein oder im Einzelfall Aussagen zu verwenden, die sich</w:t>
      </w:r>
    </w:p>
    <w:p>
      <w:pPr>
        <w:ind w:left="420"/>
      </w:pPr>
      <w:r>
        <w:t xml:space="preserve">1. auf die Beseitigung oder Linderung von Krankheiten oder</w:t>
      </w:r>
    </w:p>
    <w:p>
      <w:pPr>
        <w:ind w:left="420"/>
      </w:pPr>
      <w:r>
        <w:t xml:space="preserve">2. auf die Verhütung solcher Krankheiten, die nicht Folge mangelhafter Ernährung sind,</w:t>
      </w:r>
    </w:p>
    <w:p>
      <w:r>
        <w:t xml:space="preserve">beziehen.</w:t>
      </w:r>
    </w:p>
    <w:p>
      <w:r>
        <w:t xml:space="preserve">(2) Das Verbot nach Absatz 1 Nummer 2 bezieht sich nicht auf Aussagen über Futtermittelzusatzstoffe oder Vormischungen soweit diese Aussagen der Zweckbestimmung dieser Stoffe entsprechen.</w:t>
      </w:r>
    </w:p>
    <w:p>
      <w:r>
        <w:t xml:space="preserve">(3) Artikel 13 Absatz 3 der Verordnung (EG) Nr. 767/2009 bleibt unberührt.</w:t>
      </w:r>
    </w:p>
    <w:p>
      <w:r>
        <w:rPr>
          <w:color w:val="555555"/>
          <w:sz w:val="17"/>
        </w:rPr>
        <w:t xml:space="preserve">Zitiervorschlag: § 20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