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LFGB — Begriffsbestimmungen</w:t>
      </w:r>
    </w:p>
    <w:p>
      <w:r>
        <w:rPr>
          <w:color w:val="555555"/>
          <w:sz w:val="18"/>
        </w:rPr>
        <w:t xml:space="preserve">Lebensmittel- und Futtermittelgesetzbuch</w:t>
      </w:r>
    </w:p>
    <w:p>
      <w:r>
        <w:rPr>
          <w:color w:val="555555"/>
          <w:sz w:val="18"/>
        </w:rPr>
        <w:t xml:space="preserve">Stand: 26.05.2022 (konsolidierte Textfassung, kein amtliches Inkrafttretensdatum)</w:t>
      </w:r>
    </w:p>
    <w:p>
      <w:r>
        <w:t xml:space="preserve">(1) Erzeugnisse sind Lebensmittel, einschließlich Lebensmittelzusatzstoffen, Futtermittel, Mittel zum Tätowieren, kosmetische Mittel und Bedarfsgegenstände.</w:t>
      </w:r>
    </w:p>
    <w:p>
      <w:r>
        <w:t xml:space="preserve">(2) (weggefallen)</w:t>
      </w:r>
    </w:p>
    <w:p>
      <w:r>
        <w:t xml:space="preserve">(3) (weggefallen)</w:t>
      </w:r>
    </w:p>
    <w:p>
      <w:r>
        <w:t xml:space="preserve">(4) (weggefallen)</w:t>
      </w:r>
    </w:p>
    <w:p>
      <w:r>
        <w:t xml:space="preserve">(5) (weggefallen)</w:t>
      </w:r>
    </w:p>
    <w:p>
      <w:r>
        <w:t xml:space="preserve">(6) Bedarfsgegenstände sind</w:t>
      </w:r>
    </w:p>
    <w:p>
      <w:pPr>
        <w:ind w:left="420"/>
      </w:pPr>
      <w:r>
        <w:t xml:space="preserve">1. Materialien und Gegenstände im Sinne des Artikels 1 Absatz 2 der Verordnung (EG) Nr. 1935/2004 des Europäischen Parlaments und des Rates vom 27. Oktober 2004 über Materialien und Gegenstände, die dazu bestimmt sind, mit Lebensmitteln in Berührung zu kommen und zur Aufhebung der Richtlinien 80/590/EWG und 89/109/EWG (ABl. L 338 vom 13.11.2004, S. 4), die durch die Verordnung (EG) Nr. 596/2009 (ABl. L 188 vom 18.7.2009, S. 14) geändert worden ist,</w:t>
      </w:r>
    </w:p>
    <w:p>
      <w:pPr>
        <w:ind w:left="420"/>
      </w:pPr>
      <w:r>
        <w:t xml:space="preserve">2. Packungen, Behältnisse oder sonstige Umhüllungen, die dazu bestimmt sind, mit kosmetischen Mitteln in Berührung zu kommen,</w:t>
      </w:r>
    </w:p>
    <w:p>
      <w:pPr>
        <w:ind w:left="420"/>
      </w:pPr>
      <w:r>
        <w:t xml:space="preserve">3. Gegenstände, die dazu bestimmt sind, mit den Schleimhäuten des Mundes in Berührung zu kommen,</w:t>
      </w:r>
    </w:p>
    <w:p>
      <w:pPr>
        <w:ind w:left="420"/>
      </w:pPr>
      <w:r>
        <w:t xml:space="preserve">4. Gegenstände, die zur Körperpflege bestimmt sind,</w:t>
      </w:r>
    </w:p>
    <w:p>
      <w:pPr>
        <w:ind w:left="420"/>
      </w:pPr>
      <w:r>
        <w:t xml:space="preserve">5. Spielwaren und Scherzartikel,</w:t>
      </w:r>
    </w:p>
    <w:p>
      <w:pPr>
        <w:ind w:left="420"/>
      </w:pPr>
      <w:r>
        <w:t xml:space="preserve">6. Gegenstände, die dazu bestimmt sind, nicht nur vorübergehend mit dem menschlichen Körper in Berührung zu kommen, wie Bekleidungsgegenstände, Bettwäsche, Masken, Perücken, Haarteile, künstliche Wimpern, Armbänder,</w:t>
      </w:r>
    </w:p>
    <w:p>
      <w:pPr>
        <w:ind w:left="420"/>
      </w:pPr>
      <w:r>
        <w:t xml:space="preserve">7. Reinigungs- und Pflegemittel, die für den häuslichen Bedarf oder für Bedarfsgegenstände im Sinne der Nummer 1 bestimmt sind,</w:t>
      </w:r>
    </w:p>
    <w:p>
      <w:pPr>
        <w:ind w:left="420"/>
      </w:pPr>
      <w:r>
        <w:t xml:space="preserve">8. Imprägnierungsmittel und sonstige Ausrüstungsmittel für Bedarfsgegenstände im Sinne der Nummer 6, die für den häuslichen Bedarf bestimmt sind,</w:t>
      </w:r>
    </w:p>
    <w:p>
      <w:pPr>
        <w:ind w:left="420"/>
      </w:pPr>
      <w:r>
        <w:t xml:space="preserve">9. Mittel und Gegenstände zur Geruchsverbesserung in Räumen, die zum Aufenthalt von Menschen bestimmt sind.</w:t>
      </w:r>
    </w:p>
    <w:p>
      <w:r>
        <w:t xml:space="preserve">Bedarfsgegenstände sind nicht</w:t>
      </w:r>
    </w:p>
    <w:p>
      <w:pPr>
        <w:ind w:left="420"/>
      </w:pPr>
      <w:r>
        <w:t xml:space="preserve">1. Gegenstände, die</w:t>
      </w:r>
    </w:p>
    <w:p>
      <w:pPr>
        <w:ind w:left="780"/>
      </w:pPr>
      <w:r>
        <w:t xml:space="preserve">a) nach § 2 Absatz 2 des Arzneimittelgesetzes als Arzneimittel gelten,</w:t>
      </w:r>
    </w:p>
    <w:p>
      <w:pPr>
        <w:ind w:left="780"/>
      </w:pPr>
      <w:r>
        <w:t xml:space="preserve">b) nach Artikel 2 Nummer 1 und 2 der Verordnung (EU) 2017/745 des Europäischen Parlaments und des Rates vom 5. April 2017 über Medizinprodukte, zur Änderung der Richtlinie 2001/83/EG, der Verordnung (EG) Nr. 178/2002 und der Verordnung (EG) Nr. 1223/2009 und zur Aufhebung der Richtlinien 90/385/EWG und 93/42/EWG des Rates (ABl. L 117 vom 5.5.2017, S. 1; L 117 vom 3.5.2019, S. 9; L 334 vom 27.12.2019, S. 165), die durch die Verordnung (EU) 2020/561 (ABl. L 130 vom 24.4.2020, S. 18) geändert worden ist, in der jeweils geltenden Fassung und im Sinne von Artikel 2 Nummer 2 und 4 der Verordnung (EU) 2017/746 des Europäischen Parlaments und des Rates vom 5. April 2017 über In-vitro-Diagnostika und zur Aufhebung der Richtlinie 98/79/EG und des Beschlusses 2010/227/EU der Kommission (ABl. L 117 vom 5.5.2017, S. 176; L 117 vom 3.5.2019, S. 11; L 334 vom 27.12.2019, S. 167) in der jeweils geltenden Fassung als Medizinprodukte oder als Zubehör für Medizinprodukte gelten,</w:t>
      </w:r>
    </w:p>
    <w:p>
      <w:pPr>
        <w:ind w:left="780"/>
      </w:pPr>
      <w:r>
        <w:t xml:space="preserve">c) nach Artikel 3 Absatz 1 Buchstabe a der Verordnung (EU) Nr. 528/2012 des Europäischen Parlaments und des Rates vom 22. Mai 2012 über die Bereitstellung auf dem Markt und die Verwendung von Biozidprodukten (ABl. L 167 vom 27.6.2012, S. 1; L 303 vom 20.11.2015, S. 109; L 280 vom 28.10.2017, S. 57), die zuletzt durch die Verordnung (EU) Nr. 334/2014 (ABl. L 103 vom 5.4.2014, S. 22; L 305 vom 21.11.2015, S. 55) geändert worden ist, Biozid-Produkte sind,</w:t>
      </w:r>
    </w:p>
    <w:p>
      <w:pPr>
        <w:ind w:left="420"/>
      </w:pPr>
      <w:r>
        <w:t xml:space="preserve">2. die in Artikel 1 Absatz 3 der Verordnung (EG) Nr. 1935/2004 genannten Materialien und Gegenstände, Überzugs- und Beschichtungsmaterialien und Wasserversorgungsanlagen,</w:t>
      </w:r>
    </w:p>
    <w:p>
      <w:pPr>
        <w:ind w:left="420"/>
      </w:pPr>
      <w:r>
        <w:t xml:space="preserve">3. veterinärmedizintechnische Produkte im Sinne von § 3 Absatz 3 des Tierarzneimittelgesetzes.</w:t>
      </w:r>
    </w:p>
    <w:p>
      <w:r>
        <w:rPr>
          <w:color w:val="555555"/>
          <w:sz w:val="17"/>
        </w:rPr>
        <w:t xml:space="preserve">Zitiervorschlag: § 2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https://recht.nulegal.eu/gesetze/LFGB/2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