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LFGB — Verbote zum Schutz vor Täuschung</w:t>
      </w:r>
    </w:p>
    <w:p>
      <w:r>
        <w:rPr>
          <w:color w:val="555555"/>
          <w:sz w:val="18"/>
        </w:rPr>
        <w:t xml:space="preserve">Lebensmittel- und Futtermittelgesetzbuch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(1) Es ist verboten, als Verantwortlicher nach Artikel 12 Absatz 2 der Verordnung (EG) Nr. 767/2009 des Europäischen Parlaments und des Rates vom 13. Juli 2009 über das Inverkehrbringen und die Verwendung von Futtermitteln, zur Änderung der Verordnung (EG) Nr. 1831/2003 des Europäischen Parlaments und des Rates und zur Aufhebung der Richtlinien 79/373/EWG des Rates, 80/511/EWG der Kommission, 82/471/EWG des Rates, 83/228/EWG des Rates, 93/74/EWG des Rates, 93/113/EG des Rates und 96/25/EG des Rates und der Entscheidung 2004/217/EG der Kommission (ABl. L 229 vom 1.9.2009, S. 1; L 192 vom 22.7.2011, S. 71; L 296 vom 15.11.2019, S. 64), die zuletzt durch die Verordnung (EU) 2018/1903 (ABl. L 310 vom 6.12.2018, S. 22) geändert worden ist, Futtermittel, deren Kennzeichnung oder Aufmachung den Anforderungen</w:t>
      </w:r>
    </w:p>
    <w:p>
      <w:pPr>
        <w:ind w:left="420"/>
      </w:pPr>
      <w:r>
        <w:t xml:space="preserve">1. des Artikels 11 Absatz 1 Buchstabe a der Verordnung (EG) Nr. 767/2009,</w:t>
      </w:r>
    </w:p>
    <w:p>
      <w:pPr>
        <w:ind w:left="420"/>
      </w:pPr>
      <w:r>
        <w:t xml:space="preserve">2. des Artikels 11 Absatz 1 Buchstabe b der Verordnung (EG) Nr. 767/2009 oder</w:t>
      </w:r>
    </w:p>
    <w:p>
      <w:pPr>
        <w:ind w:left="420"/>
      </w:pPr>
      <w:r>
        <w:t xml:space="preserve">3. des Artikels 11 Absatz 1 Buchstabe c der Verordnung (EG) Nr. 767/2009 in Verbindung mit Anhang Teil C der Verordnung (EU) Nr. 68/2013 der Kommission vom 16. Januar 2013 zum Katalog der Einzelfuttermittel (ABl. L 29 vom 30.1.2013, S. 1; L 320 vom 30.11.2013, S. 82; L 91 vom 27.3.2014, S. 50), die zuletzt durch die Verordnung (EU) 2020/764 (ABl. L 183 vom 11.6.2020, S. 1) geändert worden ist,</w:t>
      </w:r>
    </w:p>
    <w:p>
      <w:r>
        <w:t xml:space="preserve">nicht entspricht, in den Verkehr zu bringen oder für solche Futtermittel allgemein oder im Einzelfall zu werben.</w:t>
      </w:r>
    </w:p>
    <w:p>
      <w:r>
        <w:t xml:space="preserve">(2) Es ist verboten, Futtermittel, deren Kennzeichnung den Anforderungen des Artikels 9 Absatz 1 Satz 1 in Verbindung mit Anhang III Satz 1 der Verordnung (EU) 2019/4 des Europäischen Parlamentes und des Rates vom 11. Dezember 2018 über die Herstellung, das Inverkehrbringen und die Verwendung von Arzneifuttermitteln, zur Änderung der Verordnung (EG) Nr. 183/2005 des Europäischen Parlaments und des Rates sowie zur Aufhebung der Richtlinie 90/167/EWG des Rates (ABl. L 4 vom 7.1.2019, S. 1; L 162 vom 19.6.2019, S. 28) nicht entspricht, in den Verkehr zu bringen.</w:t>
      </w:r>
    </w:p>
    <w:p>
      <w:r>
        <w:rPr>
          <w:color w:val="555555"/>
          <w:sz w:val="17"/>
        </w:rPr>
        <w:t xml:space="preserve">Zitiervorschlag: § 19 LFGB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https://recht.nulegal.eu/gesetze/LFGB/19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