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LFGB — Weitere Verbote</w:t>
      </w:r>
    </w:p>
    <w:p>
      <w:r>
        <w:rPr>
          <w:color w:val="555555"/>
          <w:sz w:val="18"/>
        </w:rPr>
        <w:t xml:space="preserve">Lebensmittel- und Futtermittelgesetzbuch</w:t>
      </w:r>
    </w:p>
    <w:p>
      <w:r>
        <w:rPr>
          <w:color w:val="555555"/>
          <w:sz w:val="18"/>
        </w:rPr>
        <w:t xml:space="preserve">Stand: 07.11.2021 (konsolidierte Textfassung, kein amtliches Inkrafttretensdatum)</w:t>
      </w:r>
    </w:p>
    <w:p>
      <w:r>
        <w:t xml:space="preserve">Es ist verboten, andere als dem Verbot des Artikels 14 Absatz 1 in Verbindung mit Absatz 2 Buchstabe b der Verordnung (EG) Nr. 178/2002 unterliegende Lebensmittel, die für den Verzehr durch den Menschen ungeeignet sind, in den Verkehr zu bringen.</w:t>
      </w:r>
    </w:p>
    <w:p>
      <w:r>
        <w:rPr>
          <w:color w:val="555555"/>
          <w:sz w:val="17"/>
        </w:rPr>
        <w:t xml:space="preserve">Zitiervorschlag: § 12 LFGB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https://recht.nulegal.eu/gesetze/LFGB/12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