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LFGB — Vorschriften zum Schutz vor Täuschung</w:t>
      </w:r>
    </w:p>
    <w:p>
      <w:r>
        <w:rPr>
          <w:color w:val="555555"/>
          <w:sz w:val="18"/>
        </w:rPr>
        <w:t xml:space="preserve">Lebensmittel- und Futtermittelgesetzbuch</w:t>
      </w:r>
    </w:p>
    <w:p>
      <w:r>
        <w:rPr>
          <w:color w:val="555555"/>
          <w:sz w:val="18"/>
        </w:rPr>
        <w:t xml:space="preserve">Stand: 07.11.2021 (konsolidierte Textfassung, kein amtliches Inkrafttretensdatum)</w:t>
      </w:r>
    </w:p>
    <w:p>
      <w:r>
        <w:t xml:space="preserve">(1) Es ist verboten, als Verantwortlicher nach Artikel 8 Absatz 1 der Verordnung (EU) Nr. 1169/2011 Lebensmittel mit Informationen über Lebensmittel, die den Anforderungen</w:t>
      </w:r>
    </w:p>
    <w:p>
      <w:pPr>
        <w:ind w:left="420"/>
      </w:pPr>
      <w:r>
        <w:t xml:space="preserve">1. des Artikels 7 Absatz 1, auch in Verbindung mit Absatz 4, der Verordnung (EU) Nr. 1169/2011,</w:t>
      </w:r>
    </w:p>
    <w:p>
      <w:pPr>
        <w:ind w:left="420"/>
      </w:pPr>
      <w:r>
        <w:t xml:space="preserve">2. des Artikels 7 Absatz 3, auch in Verbindung mit Absatz 4, der Verordnung (EU) Nr. 1169/2011 oder</w:t>
      </w:r>
    </w:p>
    <w:p>
      <w:pPr>
        <w:ind w:left="420"/>
      </w:pPr>
      <w:r>
        <w:t xml:space="preserve">3. des Artikels 36 Absatz 2 Buchstabe a in Verbindung mit Artikel 7 Absatz 1 oder Absatz 3, jeweils auch in Verbindung mit Artikel 7 Absatz 4, der Verordnung (EU) Nr. 1169/2011</w:t>
      </w:r>
    </w:p>
    <w:p>
      <w:r>
        <w:t xml:space="preserve">nicht entsprechen, in den Verkehr zu bringen oder allgemein oder im Einzelfall dafür zu werben.</w:t>
      </w:r>
    </w:p>
    <w:p>
      <w:r>
        <w:t xml:space="preserve">(2) Es ist ferner verboten, als Verantwortlicher nach Artikel 8 Absatz 8 der Verordnung (EU) Nr. 1169/2011 Lebensmittel mit Informationen über Lebensmittel, die den Anforderungen</w:t>
      </w:r>
    </w:p>
    <w:p>
      <w:pPr>
        <w:ind w:left="420"/>
      </w:pPr>
      <w:r>
        <w:t xml:space="preserve">1. des Artikels 7 Absatz 1, auch in Verbindung mit Absatz 4, der Verordnung (EU) Nr. 1169/2011,</w:t>
      </w:r>
    </w:p>
    <w:p>
      <w:pPr>
        <w:ind w:left="420"/>
      </w:pPr>
      <w:r>
        <w:t xml:space="preserve">2. des Artikels 7 Absatz 3, auch in Verbindung mit Absatz 4, der Verordnung (EU) Nr. 1169/2011 oder</w:t>
      </w:r>
    </w:p>
    <w:p>
      <w:pPr>
        <w:ind w:left="420"/>
      </w:pPr>
      <w:r>
        <w:t xml:space="preserve">3. des Artikels 36 Absatz 2 Buchstabe a in Verbindung mit Artikel 7 Absatz 1 oder Absatz 3, jeweils auch in Verbindung mit Artikel 7 Absatz 4, der Verordnung (EU) Nr. 1169/2011</w:t>
      </w:r>
    </w:p>
    <w:p>
      <w:r>
        <w:t xml:space="preserve">nicht entsprechen, an andere Lebensmittelunternehmer zu liefern.</w:t>
      </w:r>
    </w:p>
    <w:p>
      <w:r>
        <w:t xml:space="preserve">(3) Absatz 1 Nummer 2 und Absatz 2 Nummer 2 gelten nicht für nach Artikel 14 Absatz 1 der Verordnung (EG) Nr. 1924/2006 des Europäischen Parlaments und des Rates vom 20. Dezember 2006 über nährwert- und gesundheitsbezogene Angaben über Lebensmittel (ABl. L 404 vom 30.12.2006, S. 9; L 12 vom 18.1.2007, S. 3, L 86 vom 28.3.2008, S. 34, L 198 vom 30.7.2009, S. 87; L 160 vom 12.6.2013, S. 15), die zuletzt durch die Verordnung (EU) Nr. 1047/2012 (ABl. L 310 vom 9.11.2012, S. 36) geändert worden ist, zugelassene Angaben.</w:t>
      </w:r>
    </w:p>
    <w:p>
      <w:r>
        <w:rPr>
          <w:color w:val="555555"/>
          <w:sz w:val="17"/>
        </w:rPr>
        <w:t xml:space="preserve">Zitiervorschlag: § 11 LFGB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