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LFG (Brandenburg) — Förderungsempfänger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Gefördert werden können alle Unternehmen oder</w:t>
      </w:r>
    </w:p>
    <w:p>
      <w:r>
        <w:t xml:space="preserve">Unternehmensteile natürlicher und juristischer Personen der</w:t>
      </w:r>
    </w:p>
    <w:p>
      <w:r>
        <w:t xml:space="preserve">Landwirtschaft, des Gartenbaues, der Fischerei und der Forstwirtschaft,</w:t>
      </w:r>
    </w:p>
    <w:p>
      <w:r>
        <w:t xml:space="preserve">unabhängig von ihrem Erwerbscharakter, sowie Unternehmen der ersten</w:t>
      </w:r>
    </w:p>
    <w:p>
      <w:r>
        <w:t xml:space="preserve">Verarbeitungsstufe landwirtschaftlicher Erzeugnisse, im folgenden</w:t>
      </w:r>
    </w:p>
    <w:p>
      <w:r>
        <w:t xml:space="preserve">landwirtschaftliche Unternehmen genannt.</w:t>
      </w:r>
    </w:p>
    <w:p>
      <w:r>
        <w:rPr>
          <w:color w:val="555555"/>
          <w:sz w:val="17"/>
        </w:rPr>
        <w:t xml:space="preserve">Zitiervorschlag: § 7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