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LFG (Brandenburg) — Form der Förderung</w:t>
      </w:r>
    </w:p>
    <w:p>
      <w:r>
        <w:rPr>
          <w:color w:val="555555"/>
          <w:sz w:val="18"/>
        </w:rPr>
        <w:t xml:space="preserve">Landwirtschaftsförderungsgesetz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Förderung kann durch Gewährung von</w:t>
      </w:r>
    </w:p>
    <w:p>
      <w:r>
        <w:t xml:space="preserve">Zuschüssen, öffentlichen Darlehen, zinsverbilligten</w:t>
      </w:r>
    </w:p>
    <w:p>
      <w:r>
        <w:t xml:space="preserve">Kapitalmarktdarlehen und Bürgschaftsgarantien erfolgen.</w:t>
      </w:r>
    </w:p>
    <w:p>
      <w:r>
        <w:rPr>
          <w:color w:val="555555"/>
          <w:sz w:val="17"/>
        </w:rPr>
        <w:t xml:space="preserve">Zitiervorschlag: § 6 LFG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