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LFG (Brandenburg) — Förderungsgegenstand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Förderungswürdig nach Maßgabe dieses</w:t>
      </w:r>
    </w:p>
    <w:p>
      <w:r>
        <w:t xml:space="preserve">Gesetzes sowie im Rahmen von Rechtsvorschriften der Europäischen Union und</w:t>
      </w:r>
    </w:p>
    <w:p>
      <w:r>
        <w:t xml:space="preserve">des Bundes sind:</w:t>
      </w:r>
    </w:p>
    <w:p>
      <w:r>
        <w:t xml:space="preserve">Maßnahmen zur Verbesserung der Agrarstruktur und der Marktstruktur,</w:t>
      </w:r>
    </w:p>
    <w:p>
      <w:r>
        <w:t xml:space="preserve">Maßnahmen zur Absatzförderung einschließlich der</w:t>
      </w:r>
    </w:p>
    <w:p>
      <w:r>
        <w:t xml:space="preserve">Direktvermarktung von Erzeugnissen der Agrar- und Ernährungswirtschaft,</w:t>
      </w:r>
    </w:p>
    <w:p>
      <w:r>
        <w:t xml:space="preserve">Maßnahmen zum Ausgleich natürlicher Benachteiligungen der</w:t>
      </w:r>
    </w:p>
    <w:p>
      <w:r>
        <w:t xml:space="preserve">Landwirtschaft,</w:t>
      </w:r>
    </w:p>
    <w:p>
      <w:r>
        <w:t xml:space="preserve">Maßnahmen zum Ausgleich von Einkommenseinbußen, die aufgrund</w:t>
      </w:r>
    </w:p>
    <w:p>
      <w:r>
        <w:t xml:space="preserve">von Beschlüssen der Europäischen Union eintreten (nur EU- und</w:t>
      </w:r>
    </w:p>
    <w:p>
      <w:r>
        <w:t xml:space="preserve">Bundesfinanzmittel),</w:t>
      </w:r>
    </w:p>
    <w:p>
      <w:r>
        <w:t xml:space="preserve">Maßnahmen zur Förderung einer standortgerechten und an den</w:t>
      </w:r>
    </w:p>
    <w:p>
      <w:r>
        <w:t xml:space="preserve">Zielen des Umwelt- und Naturschutzes ausgerichteten Landwirtschaft,</w:t>
      </w:r>
    </w:p>
    <w:p>
      <w:r>
        <w:t xml:space="preserve">Maßnahmen zur Entwicklung neuer Tätigkeitsfelder für die</w:t>
      </w:r>
    </w:p>
    <w:p>
      <w:r>
        <w:t xml:space="preserve">in der Landwirtschaft beschäftigten Menschen,</w:t>
      </w:r>
    </w:p>
    <w:p>
      <w:r>
        <w:t xml:space="preserve">Maßnahmen zur Verbesserung der Infrastruktur des ländlichen</w:t>
      </w:r>
    </w:p>
    <w:p>
      <w:r>
        <w:t xml:space="preserve">Raumes,</w:t>
      </w:r>
    </w:p>
    <w:p>
      <w:r>
        <w:t xml:space="preserve">Maßnahmen zur Verbesserung der Produktionsverfahren und zur</w:t>
      </w:r>
    </w:p>
    <w:p>
      <w:r>
        <w:t xml:space="preserve">Produktinnovation,</w:t>
      </w:r>
    </w:p>
    <w:p>
      <w:r>
        <w:t xml:space="preserve">Maßnahmen, die die unter den Nummern 1 bis 8 genannten</w:t>
      </w:r>
    </w:p>
    <w:p>
      <w:r>
        <w:t xml:space="preserve">Maßnahmen unter Berücksichtigung landesspezifischer Besonderheiten</w:t>
      </w:r>
    </w:p>
    <w:p>
      <w:r>
        <w:t xml:space="preserve">ergänzen und ausschließlich aus Landesmitteln finanziert werden.</w:t>
      </w:r>
    </w:p>
    <w:p>
      <w:r>
        <w:t xml:space="preserve">(2) Zur Durchführung von Maßnahmen nach Absatz 1</w:t>
      </w:r>
    </w:p>
    <w:p>
      <w:r>
        <w:t xml:space="preserve">erlassen die jeweils zuständigen Fachminister im Einvernehmen mit dem</w:t>
      </w:r>
    </w:p>
    <w:p>
      <w:r>
        <w:t xml:space="preserve">Minister der Finanzen Richtlinien für Förderungsprogramme.</w:t>
      </w:r>
    </w:p>
    <w:p>
      <w:r>
        <w:rPr>
          <w:color w:val="555555"/>
          <w:sz w:val="17"/>
        </w:rPr>
        <w:t xml:space="preserve">Zitiervorschlag: § 5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