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LFG (Brandenburg) — Finanzierung</w:t>
      </w:r>
    </w:p>
    <w:p>
      <w:r>
        <w:rPr>
          <w:color w:val="555555"/>
          <w:sz w:val="18"/>
        </w:rPr>
        <w:t xml:space="preserve">Landwirtschaftsförderungsgesetz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Förderungsmaßnahmen mit Auswirkungen auf den</w:t>
      </w:r>
    </w:p>
    <w:p>
      <w:r>
        <w:t xml:space="preserve">Haushaltsplan stehen unter dem Vorbehalt haushaltsgesetzlicher</w:t>
      </w:r>
    </w:p>
    <w:p>
      <w:r>
        <w:t xml:space="preserve">Ermächtigung.</w:t>
      </w:r>
    </w:p>
    <w:p>
      <w:r>
        <w:t xml:space="preserve">(2) Eine finanzielle Förderung kann nur aufgrund und nach</w:t>
      </w:r>
    </w:p>
    <w:p>
      <w:r>
        <w:t xml:space="preserve">Maßgabe gesonderter Förderrichtlinien erfolgen.</w:t>
      </w:r>
    </w:p>
    <w:p>
      <w:r>
        <w:t xml:space="preserve">(3) Die in Vollzug dieses Gesetzes zu erlassenden</w:t>
      </w:r>
    </w:p>
    <w:p>
      <w:r>
        <w:t xml:space="preserve">Förderrichtlinien sind bei der Erstellung der mittelfristigen</w:t>
      </w:r>
    </w:p>
    <w:p>
      <w:r>
        <w:t xml:space="preserve">Finanzplanung angemessen zu berücksichtigen.</w:t>
      </w:r>
    </w:p>
    <w:p>
      <w:r>
        <w:rPr>
          <w:color w:val="555555"/>
          <w:sz w:val="17"/>
        </w:rPr>
        <w:t xml:space="preserve">Zitiervorschlag: § 4 LFG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https://recht.nulegal.eu/gesetze/LFG/4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