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LFG (Brandenburg) — Grundsätze</w:t>
      </w:r>
    </w:p>
    <w:p>
      <w:r>
        <w:rPr>
          <w:color w:val="555555"/>
          <w:sz w:val="18"/>
        </w:rPr>
        <w:t xml:space="preserve">Landwirtschaftsförderungsgesetz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Förderung nach diesem Gesetz soll vor allem Hilfe</w:t>
      </w:r>
    </w:p>
    <w:p>
      <w:r>
        <w:t xml:space="preserve">zur Selbsthilfe leisten, die Eigeninitiative der Betriebsinhaber anregen, eine</w:t>
      </w:r>
    </w:p>
    <w:p>
      <w:r>
        <w:t xml:space="preserve">breite Eigentumsstreuung insbesondere an Grund und Boden sichern sowie die</w:t>
      </w:r>
    </w:p>
    <w:p>
      <w:r>
        <w:t xml:space="preserve">Bereitschaft zum eigenverantwortlichen Handeln für den ländlichen</w:t>
      </w:r>
    </w:p>
    <w:p>
      <w:r>
        <w:t xml:space="preserve">Raum stärken.</w:t>
      </w:r>
    </w:p>
    <w:p>
      <w:r>
        <w:t xml:space="preserve">(2) Die Förderungsmaßnahmen nach diesem Gesetz sind</w:t>
      </w:r>
    </w:p>
    <w:p>
      <w:r>
        <w:t xml:space="preserve">mit den Förderungsmaßnahmen der Europäischen Union und des</w:t>
      </w:r>
    </w:p>
    <w:p>
      <w:r>
        <w:t xml:space="preserve">Bundes sowie mit den sonstigen Förderungsmaßnahmen des Landes unter</w:t>
      </w:r>
    </w:p>
    <w:p>
      <w:r>
        <w:t xml:space="preserve">Berücksichtigung der Ziele und Erfordernisse der Raumordnung, des Umwelt-,</w:t>
      </w:r>
    </w:p>
    <w:p>
      <w:r>
        <w:t xml:space="preserve">Natur- und Tierschutzes abzustimmen.</w:t>
      </w:r>
    </w:p>
    <w:p>
      <w:r>
        <w:rPr>
          <w:color w:val="555555"/>
          <w:sz w:val="17"/>
        </w:rPr>
        <w:t xml:space="preserve">Zitiervorschlag: § 3 LFG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https://recht.nulegal.eu/gesetze/LFG/3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