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LFG (Brandenburg) — Zuständigkeiten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Landwirtschaft zuständige Mitglied der Landesregierung kann durch Rechtsverordnung im Einvernehmen mit dem Minister des Innern</w:t>
      </w:r>
    </w:p>
    <w:p>
      <w:r>
        <w:t xml:space="preserve">die Zuständigkeit für den Vollzug einzelner Maßnahmen sowie von</w:t>
      </w:r>
    </w:p>
    <w:p>
      <w:r>
        <w:t xml:space="preserve">Förderungsprogrammen nach § 5 Abs. 2 auf nachgeordnete Behörden,</w:t>
      </w:r>
    </w:p>
    <w:p>
      <w:r>
        <w:t xml:space="preserve">Landkreise und kreisfreie Städte übertragen.</w:t>
      </w:r>
    </w:p>
    <w:p>
      <w:r>
        <w:rPr>
          <w:color w:val="555555"/>
          <w:sz w:val="17"/>
        </w:rPr>
        <w:t xml:space="preserve">Zitiervorschlag: § 21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