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LFG (Brandenburg) — Agrarforschung</w:t>
      </w:r>
    </w:p>
    <w:p>
      <w:r>
        <w:rPr>
          <w:color w:val="555555"/>
          <w:sz w:val="18"/>
        </w:rPr>
        <w:t xml:space="preserve">Landwirtschaftsförderungsgesetz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Land fördert die Agrarforschung zur Unterstützung</w:t>
      </w:r>
    </w:p>
    <w:p>
      <w:r>
        <w:t xml:space="preserve">der inhaltlichen Ausgestaltung und der Umsetzung seines agrarpolitischen</w:t>
      </w:r>
    </w:p>
    <w:p>
      <w:r>
        <w:t xml:space="preserve">Programms der integrierten Entwicklung ländlicher Räume.</w:t>
      </w:r>
    </w:p>
    <w:p>
      <w:r>
        <w:rPr>
          <w:color w:val="555555"/>
          <w:sz w:val="17"/>
        </w:rPr>
        <w:t xml:space="preserve">Zitiervorschlag: § 20 LFG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https://recht.nulegal.eu/gesetze/LFG/20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