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LFG (Brandenburg) — Ziele der Förderung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Förderungsmaßnahmen sind zu richten auf:</w:t>
      </w:r>
    </w:p>
    <w:p>
      <w:r>
        <w:t xml:space="preserve">die Gestaltung eines sozial verträglichen Privatisierungsprozesses</w:t>
      </w:r>
    </w:p>
    <w:p>
      <w:r>
        <w:t xml:space="preserve">und Strukturwandels,</w:t>
      </w:r>
    </w:p>
    <w:p>
      <w:r>
        <w:t xml:space="preserve">die Teilnahme der in der Landwirtschaft Beschäftigten an der</w:t>
      </w:r>
    </w:p>
    <w:p>
      <w:r>
        <w:t xml:space="preserve">allgemeinen Einkommens- und Wohlstandsentwicklung,</w:t>
      </w:r>
    </w:p>
    <w:p>
      <w:r>
        <w:t xml:space="preserve">die Unterstützung der Landwirtschaft bei der Erhaltung, Pflege und</w:t>
      </w:r>
    </w:p>
    <w:p>
      <w:r>
        <w:t xml:space="preserve">Wiederherstellung der Kulturlandschaft durch standortgerechte Nutzung der</w:t>
      </w:r>
    </w:p>
    <w:p>
      <w:r>
        <w:t xml:space="preserve">natürlichen Ressourcen,</w:t>
      </w:r>
    </w:p>
    <w:p>
      <w:r>
        <w:t xml:space="preserve">die Erhaltung der Funktionsfähigkeit des ländlichen Raumes,</w:t>
      </w:r>
    </w:p>
    <w:p>
      <w:r>
        <w:t xml:space="preserve">die Senkung der Umweltbelastung durch die agrarwirtschaftliche Nutzung des</w:t>
      </w:r>
    </w:p>
    <w:p>
      <w:r>
        <w:t xml:space="preserve">ländlichen Raumes.</w:t>
      </w:r>
    </w:p>
    <w:p>
      <w:r>
        <w:rPr>
          <w:color w:val="555555"/>
          <w:sz w:val="17"/>
        </w:rPr>
        <w:t xml:space="preserve">Zitiervorschlag: § 2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