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LFG (Brandenburg) — Beratung</w:t>
      </w:r>
    </w:p>
    <w:p>
      <w:r>
        <w:rPr>
          <w:color w:val="555555"/>
          <w:sz w:val="18"/>
        </w:rPr>
        <w:t xml:space="preserve">Landwirtschaftsförderungsgesetz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landwirtschaftlichen Unternehmen wählen die</w:t>
      </w:r>
    </w:p>
    <w:p>
      <w:r>
        <w:t xml:space="preserve">Beratungsträger und bestimmen die Inhalte der Unternehmensberatung in</w:t>
      </w:r>
    </w:p>
    <w:p>
      <w:r>
        <w:t xml:space="preserve">eigener Verantwortung.</w:t>
      </w:r>
    </w:p>
    <w:p>
      <w:r>
        <w:t xml:space="preserve">(2) Das Land unterstützt die Unternehmen finanziell bei</w:t>
      </w:r>
    </w:p>
    <w:p>
      <w:r>
        <w:t xml:space="preserve">der Inanspruchnahme von Beratungsleistungen.</w:t>
      </w:r>
    </w:p>
    <w:p>
      <w:r>
        <w:t xml:space="preserve">(3) Das für Landwirtschaft zuständige Mitglied der Landesregierung hat die Aufgabe, die Wirkungen der Beratung zu bewerten, eine</w:t>
      </w:r>
    </w:p>
    <w:p>
      <w:r>
        <w:t xml:space="preserve">begleitende Nachfrageanalyse für Beratungsleistungen zu organisieren sowie</w:t>
      </w:r>
    </w:p>
    <w:p>
      <w:r>
        <w:t xml:space="preserve">die Beraterfortbildung im Zusammenwirken mit der Agrarforschung mitzugestalten.</w:t>
      </w:r>
    </w:p>
    <w:p>
      <w:r>
        <w:t xml:space="preserve">(4) Das Land fördert die sozioökonomische Beratung.</w:t>
      </w:r>
    </w:p>
    <w:p>
      <w:r>
        <w:rPr>
          <w:color w:val="555555"/>
          <w:sz w:val="17"/>
        </w:rPr>
        <w:t xml:space="preserve">Zitiervorschlag: § 19 LFG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