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LFG (Brandenburg) — Bildung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fördert eine an den Erfordernissen der</w:t>
      </w:r>
    </w:p>
    <w:p>
      <w:r>
        <w:t xml:space="preserve">Entwicklung des ländlichen Raumes orientierte Aus- und Weiterbildung.</w:t>
      </w:r>
    </w:p>
    <w:p>
      <w:r>
        <w:t xml:space="preserve">Gefördert werden können:</w:t>
      </w:r>
    </w:p>
    <w:p>
      <w:r>
        <w:t xml:space="preserve">Landwirtschaftsschulen und Einrichtungen in kommunaler Trägerschaft,</w:t>
      </w:r>
    </w:p>
    <w:p>
      <w:r>
        <w:t xml:space="preserve">soweit diese entsprechende Aufgaben wahrnehmen,</w:t>
      </w:r>
    </w:p>
    <w:p>
      <w:r>
        <w:t xml:space="preserve">Modellprojekte sowie</w:t>
      </w:r>
    </w:p>
    <w:p>
      <w:r>
        <w:t xml:space="preserve">betriebliche Qualifizierungsmaßnahmen durch anerkannte</w:t>
      </w:r>
    </w:p>
    <w:p>
      <w:r>
        <w:t xml:space="preserve">Bildungsträger.</w:t>
      </w:r>
    </w:p>
    <w:p>
      <w:r>
        <w:rPr>
          <w:color w:val="555555"/>
          <w:sz w:val="17"/>
        </w:rPr>
        <w:t xml:space="preserve">Zitiervorschlag: § 18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