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LFG (Brandenburg) — Förderungstatbestand</w:t>
      </w:r>
    </w:p>
    <w:p>
      <w:r>
        <w:rPr>
          <w:color w:val="555555"/>
          <w:sz w:val="18"/>
        </w:rPr>
        <w:t xml:space="preserve">Landwirtschaftsförderungsgesetz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Gefördert werden können Selbsthilfeeinrichtungen, die</w:t>
      </w:r>
    </w:p>
    <w:p>
      <w:r>
        <w:t xml:space="preserve">den rationellen Einsatz von Betriebsmitteln gewährleisten,</w:t>
      </w:r>
    </w:p>
    <w:p>
      <w:r>
        <w:t xml:space="preserve">helfen, die Produktion von Erzeugnissen nach Qualität, Menge und</w:t>
      </w:r>
    </w:p>
    <w:p>
      <w:r>
        <w:t xml:space="preserve">Zeitpunkt besser dem Markt anzupassen,</w:t>
      </w:r>
    </w:p>
    <w:p>
      <w:r>
        <w:t xml:space="preserve">Leistungen zur Erhaltung und Wiederherstellung der Kulturlandschaft</w:t>
      </w:r>
    </w:p>
    <w:p>
      <w:r>
        <w:t xml:space="preserve">erbringen,</w:t>
      </w:r>
    </w:p>
    <w:p>
      <w:r>
        <w:t xml:space="preserve">der Entwicklung neuartiger Formen der Verbesserung des Einkommens und der</w:t>
      </w:r>
    </w:p>
    <w:p>
      <w:r>
        <w:t xml:space="preserve">sozialen Lage der Landwirte dienen und</w:t>
      </w:r>
    </w:p>
    <w:p>
      <w:r>
        <w:t xml:space="preserve">den Zugang der Landwirte und landwirtschaftlichen Unternehmen zu dem</w:t>
      </w:r>
    </w:p>
    <w:p>
      <w:r>
        <w:t xml:space="preserve">zersplitterten Angebot an Boden erleichtern.</w:t>
      </w:r>
    </w:p>
    <w:p>
      <w:r>
        <w:rPr>
          <w:color w:val="555555"/>
          <w:sz w:val="17"/>
        </w:rPr>
        <w:t xml:space="preserve">Zitiervorschlag: § 17 LFG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