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LFG (Brandenburg) — Grundsatz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Selbsthilfe gehört zu den Grundprinzipien der</w:t>
      </w:r>
    </w:p>
    <w:p>
      <w:r>
        <w:t xml:space="preserve">Tätigkeit landwirtschaftlicher Unternehmen. Selbsthilfeeinrichtungen im</w:t>
      </w:r>
    </w:p>
    <w:p>
      <w:r>
        <w:t xml:space="preserve">Sinne dieses Gesetzes sind Zusammenschlüsse von landwirtschaftlichen</w:t>
      </w:r>
    </w:p>
    <w:p>
      <w:r>
        <w:t xml:space="preserve">Unternehmen und Vereinigungen solcher Zusammenschlüsse zur Verbesserung</w:t>
      </w:r>
    </w:p>
    <w:p>
      <w:r>
        <w:t xml:space="preserve">der wirtschaftlichen Situation der Unternehmen und der sozialen Lage der in der</w:t>
      </w:r>
    </w:p>
    <w:p>
      <w:r>
        <w:t xml:space="preserve">Landwirtschaft Beschäftigten.</w:t>
      </w:r>
    </w:p>
    <w:p>
      <w:r>
        <w:rPr>
          <w:color w:val="555555"/>
          <w:sz w:val="17"/>
        </w:rPr>
        <w:t xml:space="preserve">Zitiervorschlag: § 16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