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LFG (Brandenburg) — Gleichbehandlung von Rechtsformen und Betriebsgrößen</w:t>
      </w:r>
    </w:p>
    <w:p>
      <w:r>
        <w:rPr>
          <w:color w:val="555555"/>
          <w:sz w:val="18"/>
        </w:rPr>
        <w:t xml:space="preserve">Landwirtschaftsförderungsgesetz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landwirtschaftlichen Unternehmen im Sinne des § 7</w:t>
      </w:r>
    </w:p>
    <w:p>
      <w:r>
        <w:t xml:space="preserve">sollen unabhängig von ihrer Größe und Rechtsform</w:t>
      </w:r>
    </w:p>
    <w:p>
      <w:r>
        <w:t xml:space="preserve">gleichbehandelt werden. Das gilt insbesondere für den Zugang zu</w:t>
      </w:r>
    </w:p>
    <w:p>
      <w:r>
        <w:t xml:space="preserve">Fördermitteln und für die Bewertung des sozialen Status der</w:t>
      </w:r>
    </w:p>
    <w:p>
      <w:r>
        <w:t xml:space="preserve">Landwirte. Alle Bestrebungen sind darauf zu richten, insoweit bestehende</w:t>
      </w:r>
    </w:p>
    <w:p>
      <w:r>
        <w:t xml:space="preserve">Benachteiligungen abzubauen.</w:t>
      </w:r>
    </w:p>
    <w:p>
      <w:r>
        <w:rPr>
          <w:color w:val="555555"/>
          <w:sz w:val="17"/>
        </w:rPr>
        <w:t xml:space="preserve">Zitiervorschlag: § 15 LFG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https://recht.nulegal.eu/gesetze/LFG/15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