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LFG (Brandenburg) — Zugang zu Produktions- und Lieferrechten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Landwirtschaft soll in einer Weise mit Produktions- und</w:t>
      </w:r>
    </w:p>
    <w:p>
      <w:r>
        <w:t xml:space="preserve">Lieferrechten ausgestattet und deren Zuordnung auf die Unternehmen so</w:t>
      </w:r>
    </w:p>
    <w:p>
      <w:r>
        <w:t xml:space="preserve">vorgenommen werden, daß der Umstrukturierungsprozeß gefördert,</w:t>
      </w:r>
    </w:p>
    <w:p>
      <w:r>
        <w:t xml:space="preserve">eine standortgerechte agrarwirtschaftliche Nutzung ländlicher Regionen</w:t>
      </w:r>
    </w:p>
    <w:p>
      <w:r>
        <w:t xml:space="preserve">möglich und der weitere Strukturwandel nicht behindert werden.</w:t>
      </w:r>
    </w:p>
    <w:p>
      <w:r>
        <w:rPr>
          <w:color w:val="555555"/>
          <w:sz w:val="17"/>
        </w:rPr>
        <w:t xml:space="preserve">Zitiervorschlag: § 14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