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LFG (Brandenburg) — Zugang zu Grund und Boden</w:t>
      </w:r>
    </w:p>
    <w:p>
      <w:r>
        <w:rPr>
          <w:color w:val="555555"/>
          <w:sz w:val="18"/>
        </w:rPr>
        <w:t xml:space="preserve">Landwirtschaftsförderungsgesetz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Ergebnisse der Bodenreform sollen nicht angetastet</w:t>
      </w:r>
    </w:p>
    <w:p>
      <w:r>
        <w:t xml:space="preserve">werden.</w:t>
      </w:r>
    </w:p>
    <w:p>
      <w:r>
        <w:t xml:space="preserve">(2) Bei der Verwertung der ehemaligen volkseigenen</w:t>
      </w:r>
    </w:p>
    <w:p>
      <w:r>
        <w:t xml:space="preserve">landwirtschaftlichen Flächen sind in Brandenburg ansässige</w:t>
      </w:r>
    </w:p>
    <w:p>
      <w:r>
        <w:t xml:space="preserve">Unternehmen chancengleich zu berücksichtigen und spekulativem Bodenerwerb</w:t>
      </w:r>
    </w:p>
    <w:p>
      <w:r>
        <w:t xml:space="preserve">entgegenzuwirken.</w:t>
      </w:r>
    </w:p>
    <w:p>
      <w:r>
        <w:t xml:space="preserve">(3) Das Land nutzt die Möglichkeiten, die das</w:t>
      </w:r>
    </w:p>
    <w:p>
      <w:r>
        <w:t xml:space="preserve">Grundstückverkehrs- und das Landpachtverkehrsgesetz bieten, sowie das nach</w:t>
      </w:r>
    </w:p>
    <w:p>
      <w:r>
        <w:t xml:space="preserve">dem Reichssiedlungsgesetz bestehende Vorkaufsrecht zur Erfüllung der Ziele</w:t>
      </w:r>
    </w:p>
    <w:p>
      <w:r>
        <w:t xml:space="preserve">dieses Gesetzes.</w:t>
      </w:r>
    </w:p>
    <w:p>
      <w:r>
        <w:rPr>
          <w:color w:val="555555"/>
          <w:sz w:val="17"/>
        </w:rPr>
        <w:t xml:space="preserve">Zitiervorschlag: § 13 LFG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https://recht.nulegal.eu/gesetze/LFG/13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