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LFG (Brandenburg) — Grundsatz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Unternehmen im Sinne des § 7, die in Brandenburg</w:t>
      </w:r>
    </w:p>
    <w:p>
      <w:r>
        <w:t xml:space="preserve">ansässig sind, sollen im Wettbewerb mit anderen landwirtschaftlichen</w:t>
      </w:r>
    </w:p>
    <w:p>
      <w:r>
        <w:t xml:space="preserve">Unternehmen um landwirtschaftlich nutzbaren Boden, Kapital sowie Produktions-</w:t>
      </w:r>
    </w:p>
    <w:p>
      <w:r>
        <w:t xml:space="preserve">und Lieferrechte gleiche Chancen haben.</w:t>
      </w:r>
    </w:p>
    <w:p>
      <w:r>
        <w:rPr>
          <w:color w:val="555555"/>
          <w:sz w:val="17"/>
        </w:rPr>
        <w:t xml:space="preserve">Zitiervorschlag: § 12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