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LFG (Brandenburg) — Nachteilsausgleich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Landwirtschaft zuständige Mitglied der Landesregierung wird ermächtigt, im Einvernehmen mit dem Minister der Finanzen</w:t>
      </w:r>
    </w:p>
    <w:p>
      <w:r>
        <w:t xml:space="preserve">durch Rechtsverordnung festzulegen, daß Eigentümern oder</w:t>
      </w:r>
    </w:p>
    <w:p>
      <w:r>
        <w:t xml:space="preserve">Nutzungsberechtigten auf Antrag ein Ausgleich nach Maßgabe des Haushaltes</w:t>
      </w:r>
    </w:p>
    <w:p>
      <w:r>
        <w:t xml:space="preserve">gewährt werden kann, wenn die landwirtschaftliche Nutzung einer</w:t>
      </w:r>
    </w:p>
    <w:p>
      <w:r>
        <w:t xml:space="preserve">Fläche oder eines Gewässers im Sinne des § 9 durch Gesetz oder</w:t>
      </w:r>
    </w:p>
    <w:p>
      <w:r>
        <w:t xml:space="preserve">aufgrund eines Gesetzes wesentlich erschwert oder eingeschränkt wird, ohne</w:t>
      </w:r>
    </w:p>
    <w:p>
      <w:r>
        <w:t xml:space="preserve">daß nach anderen gesetzlichen Bestimmungen Anspruch auf</w:t>
      </w:r>
    </w:p>
    <w:p>
      <w:r>
        <w:t xml:space="preserve">Entschädigung besteht. Die Höhe des Ausgleichs muß die</w:t>
      </w:r>
    </w:p>
    <w:p>
      <w:r>
        <w:t xml:space="preserve">Stärke der Nutzungseinschränkung angemessen berücksichtigen.</w:t>
      </w:r>
    </w:p>
    <w:p>
      <w:r>
        <w:rPr>
          <w:color w:val="555555"/>
          <w:sz w:val="17"/>
        </w:rPr>
        <w:t xml:space="preserve">Zitiervorschlag: § 11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