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LFG (Brandenburg) — Förderungstatbestand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Standortgerechte agrarwirtschaftliche Nutzungsformen des</w:t>
      </w:r>
    </w:p>
    <w:p>
      <w:r>
        <w:t xml:space="preserve">ländlichen Raumes sind förderungswürdig, wenn die</w:t>
      </w:r>
    </w:p>
    <w:p>
      <w:r>
        <w:t xml:space="preserve">Förderungsempfänger dabei Leistungen erbringen, für die</w:t>
      </w:r>
    </w:p>
    <w:p>
      <w:r>
        <w:t xml:space="preserve">gegenwärtig keine marktmäßige Gegenleistung zu erzielen</w:t>
      </w:r>
    </w:p>
    <w:p>
      <w:r>
        <w:t xml:space="preserve">ist, so daß die Förderung die Funktion eines Entgelts dieser</w:t>
      </w:r>
    </w:p>
    <w:p>
      <w:r>
        <w:t xml:space="preserve">Leistungen hat, oder wenn</w:t>
      </w:r>
    </w:p>
    <w:p>
      <w:r>
        <w:t xml:space="preserve">zwar eine marktmäßige Gegenleistung zu erzielen ist, die jedoch</w:t>
      </w:r>
    </w:p>
    <w:p>
      <w:r>
        <w:t xml:space="preserve">durch ihre Höhe auf absehbare Zeit gegenüber anderen Nutzungsformen</w:t>
      </w:r>
    </w:p>
    <w:p>
      <w:r>
        <w:t xml:space="preserve">zu Wettbewerbsnachteilen führt, so daß die Förderung die</w:t>
      </w:r>
    </w:p>
    <w:p>
      <w:r>
        <w:t xml:space="preserve">Funktion hat, zeitweilige Wettbewerbsnachteile zu verringern.</w:t>
      </w:r>
    </w:p>
    <w:p>
      <w:r>
        <w:rPr>
          <w:color w:val="555555"/>
          <w:sz w:val="17"/>
        </w:rPr>
        <w:t xml:space="preserve">Zitiervorschlag: § 10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