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LFG (Brandenburg) — Zweck des Gesetzes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Zweck dieses Gesetzes ist es, im Interesse einer dauerhaften</w:t>
      </w:r>
    </w:p>
    <w:p>
      <w:r>
        <w:t xml:space="preserve">Bestandssicherung der Landwirtschaft, des Gartenbaues, der Fischerei und der</w:t>
      </w:r>
    </w:p>
    <w:p>
      <w:r>
        <w:t xml:space="preserve">Forstwirtschaft, im folgenden Landwirtschaft genannt,</w:t>
      </w:r>
    </w:p>
    <w:p>
      <w:r>
        <w:t xml:space="preserve">die Verwirklichung einer neuen Agrarverfassung zu fördern,</w:t>
      </w:r>
    </w:p>
    <w:p>
      <w:r>
        <w:t xml:space="preserve">den in Brandenburg ansässigen Produzenten Chancengleichheit zu</w:t>
      </w:r>
    </w:p>
    <w:p>
      <w:r>
        <w:t xml:space="preserve">sichern,</w:t>
      </w:r>
    </w:p>
    <w:p>
      <w:r>
        <w:t xml:space="preserve">die notwendige Umgestaltung der Art und Weise der agrarwirtschaftlichen</w:t>
      </w:r>
    </w:p>
    <w:p>
      <w:r>
        <w:t xml:space="preserve">Nutzung des ländlichen Raumes zu beschleunigen und</w:t>
      </w:r>
    </w:p>
    <w:p>
      <w:r>
        <w:t xml:space="preserve">den in der Agrarwirtschaft anhaltend erforderlichen Strukturwandel zu</w:t>
      </w:r>
    </w:p>
    <w:p>
      <w:r>
        <w:t xml:space="preserve">unterstützen.</w:t>
      </w:r>
    </w:p>
    <w:p>
      <w:r>
        <w:rPr>
          <w:color w:val="555555"/>
          <w:sz w:val="17"/>
        </w:rPr>
        <w:t xml:space="preserve">Zitiervorschlag: § 1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