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LFBAG</w:t>
      </w:r>
    </w:p>
    <w:p>
      <w:r>
        <w:rPr>
          <w:color w:val="555555"/>
          <w:sz w:val="18"/>
        </w:rPr>
        <w:t xml:space="preserve">Gesetz über das Luftfahrt-Bundesamt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Bundesoberbehörde für Aufgaben der Zivilluftfahrt wird das Luftfahrt-Bundesamt errichtet, das dem Bundesministerium für Verkehr und digitale Infrastruktur untersteht.</w:t>
      </w:r>
    </w:p>
    <w:p>
      <w:r>
        <w:t xml:space="preserve">(2) Das Bundesministerium für Verkehr und digitale Infrastruktur bestimmt den Sitz des Luftfahrt-Bundesamts.</w:t>
      </w:r>
    </w:p>
    <w:p>
      <w:r>
        <w:rPr>
          <w:color w:val="555555"/>
          <w:sz w:val="17"/>
        </w:rPr>
        <w:t xml:space="preserve">Zitiervorschlag: § 1 LFBAG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https://recht.nulegal.eu/gesetze/LFBAG/1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