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LFÜG — Ermächtigung</w:t>
      </w:r>
    </w:p>
    <w:p>
      <w:r>
        <w:rPr>
          <w:color w:val="555555"/>
          <w:sz w:val="18"/>
        </w:rPr>
        <w:t xml:space="preserve">Gesetz über den Übergang auf das neue Lebensmittel- und Futtermittelrecht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wird ermächtigt, durch Rechtsverordnung ohne Zustimmung des Bundesrates Verweise in bundesrechtlichen Vorschriften auf andere als in § 1 Abs. 4 genannte Vorschriften des Lebensmittel- und Bedarfsgegenständegesetzes in der Fassung der Bekanntmachung vom 9. September 1997 (BGBl. I S. 2296), zuletzt geändert durch Artikel 5 des Gesetzes vom 13. Mai 2004 (BGBl. I S. 934), in der bis zum 6. September 2005 geltenden Fassung durch Verweise auf inhaltsgleiche Vorschriften des Lebensmittel- und Futtermittelgesetzbuches zu ersetzen.</w:t>
      </w:r>
    </w:p>
    <w:p>
      <w:r>
        <w:rPr>
          <w:color w:val="555555"/>
          <w:sz w:val="17"/>
        </w:rPr>
        <w:t xml:space="preserve">Zitiervorschlag: § 5 LFÜG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https://recht.nulegal.eu/gesetze/LF%C3%9CG/5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