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LFÜG — Geltung von Vorschriften</w:t>
      </w:r>
    </w:p>
    <w:p>
      <w:r>
        <w:rPr>
          <w:color w:val="555555"/>
          <w:sz w:val="18"/>
        </w:rPr>
        <w:t xml:space="preserve">Gesetz über den Übergang auf das neue Lebensmittel- und Futtermittelrecht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6 Abs. 1 Nr. 2, § 8 Abs. 1 Nr. 2, § 9 Abs. 1, § 10 Abs. 1 Nr. 3, § 28 Abs. 2, § 33 Abs. 2 und § 34 Abs. 2 des Lebensmittel- und Futtermittelgesetzbuches gelten auch für Regelungen in Rechtsverordnungen, die auf Grund des § 9 Abs. 1 Nr. 1, § 12 Abs. 1 oder 2 Nr. 1, 2, soweit dort auf § 11 Abs. 2 Nr. 1 und auf Ionenaustauscher verwiesen wird, Nr. 3 oder 4, des § 13 Abs. 2, des § 14 Abs. 2 Nr. 1 Buchstabe a, des § 15 Abs. 3 Nr. 1 Buchstabe a, des § 26 Abs. 1 Nr. 2 oder 3, dieser in Verbindung mit § 32 Abs. 1 Nr. 1 bis 3 und 5, des § 31 Abs. 2, des § 32 Abs. 1 Nr. 1 bis 3, 5 und 6 des Lebensmittel- und Bedarfsgegenständegesetzes in der Fassung der Bekanntmachung vom 9. September 1997 (BGBl. I S. 2296), das zuletzt durch Artikel 5 des Gesetzes vom 13. Mai 2004 (BGBl. I S. 934) geändert worden ist, in der bis zum 6. September 2005 geltenden Fassung erlassen worden sind.</w:t>
      </w:r>
    </w:p>
    <w:p>
      <w:r>
        <w:t xml:space="preserve">(2) § 21 Abs. 1 bis 3 Satz 1 und Abs. 4 bis 6 und § 57 Abs. 3 des Lebensmittel- und Futtermittelgesetzbuches gelten auch für Regelungen in Rechtsverordnungen, die auf Grund des § 4 Abs. 1 Nr. 1, 1a, 2, 3, 4, 5 und 10 und des § 5 Abs. 4 Nr. 1 des Futtermittelgesetzes in der Fassung der Bekanntmachung vom 25. August 2000 (BGBl. I S. 1358), das zuletzt durch Artikel 1 des Gesetzes vom 21. Juli 2004 (BGBl. I S. 1756) geändert worden ist, in der bis zum 6. September 2005 geltenden Fassung erlassen worden sind.</w:t>
      </w:r>
    </w:p>
    <w:p>
      <w:r>
        <w:t xml:space="preserve">(3) § 43 Abs. 1 Satz 2 des Lebensmittel- und Futtermittelgesetzbuches gilt auch für Regelungen in Rechtsverordnungen, die auf Grund des</w:t>
      </w:r>
    </w:p>
    <w:p>
      <w:pPr>
        <w:ind w:left="420"/>
      </w:pPr>
      <w:r>
        <w:t xml:space="preserve">1. § 22d Nr. 4 des Fleischhygienegesetzes in der Fassung der Bekanntmachung vom 30. Juni 2003 (BGBl. I S. 1242, 1585), das zuletzt durch Artikel 1 des Gesetzes vom 4. November 2004 (BGBl. I S. 2688, 3657) geändert worden ist,</w:t>
      </w:r>
    </w:p>
    <w:p>
      <w:pPr>
        <w:ind w:left="420"/>
      </w:pPr>
      <w:r>
        <w:t xml:space="preserve">2. § 20 Nr. 4 des Geflügelfleischhygienegesetzes vom 17. Juli 1996 (BGBl. I S. 991), das zuletzt durch Artikel 2 des Gesetzes vom 13. Mai 2004 (BGBl. I S. 934) geändert worden ist,</w:t>
      </w:r>
    </w:p>
    <w:p>
      <w:r>
        <w:t xml:space="preserve">jeweils in der bis zum 6. September 2005 geltenden Fassung erlassen worden sind.</w:t>
      </w:r>
    </w:p>
    <w:p>
      <w:r>
        <w:t xml:space="preserve">(4) Soweit in den §§ 58 bis 60 des Lebensmittel- und Futtermittelgesetzbuches auf Rechtsverordnungen nach Vorschriften des Lebensmittel- und Futtermittelgesetzbuches verwiesen wird, gelten diese Verweise auch als Verweise auf Rechtsverordnungen, die auf Grund der jeweils entsprechenden Ermächtigung des</w:t>
      </w:r>
    </w:p>
    <w:p>
      <w:pPr>
        <w:ind w:left="420"/>
      </w:pPr>
      <w:r>
        <w:t xml:space="preserve">1. Lebensmittel- und Bedarfsgegenständegesetzes in der Fassung der Bekanntmachung vom 9. September 1997 (BGBl. I S. 2296), zuletzt geändert durch Artikel 5 des Gesetzes vom 13. Mai 2004 (BGBl. I S. 934), in der bis zum 6. September 2005 geltenden Fassung,</w:t>
      </w:r>
    </w:p>
    <w:p>
      <w:pPr>
        <w:ind w:left="420"/>
      </w:pPr>
      <w:r>
        <w:t xml:space="preserve">2. Futtermittelgesetzes in der Fassung der Bekanntmachung vom 25. August 2000 (BGBl. I S. 1358), zuletzt geändert durch Artikel 1 des Gesetzes vom 21. Juli 2004 (BGBl. I S. 1756), in der bis zum 6. September 2005 geltenden Fassung</w:t>
      </w:r>
    </w:p>
    <w:p>
      <w:r>
        <w:t xml:space="preserve">erlassen worden sind.</w:t>
      </w:r>
    </w:p>
    <w:p>
      <w:r>
        <w:rPr>
          <w:color w:val="555555"/>
          <w:sz w:val="17"/>
        </w:rPr>
        <w:t xml:space="preserve">Zitiervorschlag: § 2 LFÜG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https://recht.nulegal.eu/gesetze/LF%C3%9CG/2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