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LFÜG — Weitere Anwendung von Vorschriften über den Lebensmittelzusatzstoffen gleichgestellte Stoffe</w:t>
      </w:r>
    </w:p>
    <w:p>
      <w:r>
        <w:rPr>
          <w:color w:val="555555"/>
          <w:sz w:val="18"/>
        </w:rPr>
        <w:t xml:space="preserve">Gesetz über den Übergang auf das neue Lebensmittel- und Futtermittelrecht</w:t>
      </w:r>
    </w:p>
    <w:p>
      <w:r>
        <w:rPr>
          <w:color w:val="555555"/>
          <w:sz w:val="18"/>
        </w:rPr>
        <w:t xml:space="preserve">Stand: 02.10.2021 (konsolidierte Textfassung, kein amtliches Inkrafttretensdatum)</w:t>
      </w:r>
    </w:p>
    <w:p>
      <w:r>
        <w:t xml:space="preserve">(1) § 2 Absatz 3 Satz 2 Nummer 2 und 4 jeweils in Verbindung mit § 4 Absatz 1 Nummer 2 und § 6 Absatz 1 sowie § 59 Absatz 1 Nummer 1 bis 3 und § 60 Absatz 1 Nummer 2 des Lebensmittel- und Futtermittelgesetzbuches sind in der bis zum 9. August 2021 geltenden Fassung weiterhin anzuwenden, solange und soweit noch nicht</w:t>
      </w:r>
    </w:p>
    <w:p>
      <w:pPr>
        <w:ind w:left="420"/>
      </w:pPr>
      <w:r>
        <w:t xml:space="preserve">1. eine unmittelbar geltende Vorschrift in Rechtsakten der Europäischen Gemeinschaft oder der Europäischen Union gilt, die inhaltlich einer Regelung entspricht, zu der § 7 Absatz 2 des Lebensmittel- und Futtermittelgesetzbuches in der ab dem 10. August 2021 geltenden Fassung ermächtigt, oder</w:t>
      </w:r>
    </w:p>
    <w:p>
      <w:pPr>
        <w:ind w:left="420"/>
      </w:pPr>
      <w:r>
        <w:t xml:space="preserve">2. aufgrund der Ermächtigung des § 7 Absatz 2 des Lebensmittel- und Futtermittelgesetzbuches in der ab dem 10. August 2021 geltenden Fassung neue Regelungen getroffen worden sind.</w:t>
      </w:r>
    </w:p>
    <w:p>
      <w:r>
        <w:t xml:space="preserve">(2) Auf Sachverhalte, die vor dem 10. August 2021 entstanden sind, sind die in Absatz 1 genannten Vorschriften hinsichtlich der Verfolgung von Straftaten und Ordnungswidrigkeiten weiter anzuwenden.</w:t>
      </w:r>
    </w:p>
    <w:p>
      <w:r>
        <w:rPr>
          <w:color w:val="555555"/>
          <w:sz w:val="17"/>
        </w:rPr>
        <w:t xml:space="preserve">Zitiervorschlag: § 1a LFÜG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https://recht.nulegal.eu/gesetze/LF%C3%9CG/1a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