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LFÜG — Weitere Anwendung von Vorschriften</w:t>
      </w:r>
    </w:p>
    <w:p>
      <w:r>
        <w:rPr>
          <w:color w:val="555555"/>
          <w:sz w:val="18"/>
        </w:rPr>
        <w:t xml:space="preserve">Gesetz über den Übergang auf das neue Lebensmittel- und Futtermittelrecht</w:t>
      </w:r>
    </w:p>
    <w:p>
      <w:r>
        <w:rPr>
          <w:color w:val="555555"/>
          <w:sz w:val="18"/>
        </w:rPr>
        <w:t xml:space="preserve">Stand: 10.06.2019 (konsolidierte Textfassung, kein amtliches Inkrafttretensdatum)</w:t>
      </w:r>
    </w:p>
    <w:p>
      <w:r>
        <w:t xml:space="preserve">(1) Solange noch nicht auf Grund der Ermächtigungen des Lebensmittel- und Futtermittelgesetzbuches neue Regelungen getroffen worden sind, sind, auch soweit dies zur Vermeidung von Strafbarkeitslücken und Lücken in der Bußgeldbewehrung erforderlich ist,</w:t>
      </w:r>
    </w:p>
    <w:p>
      <w:pPr>
        <w:ind w:left="420"/>
      </w:pPr>
      <w:r>
        <w:t xml:space="preserve">1. (weggefallen)</w:t>
      </w:r>
    </w:p>
    <w:p>
      <w:pPr>
        <w:ind w:left="420"/>
      </w:pPr>
      <w:r>
        <w:t xml:space="preserve">2. die §§ 9, 11 und 18 des Vorläufigen Biergesetzes in der Fassung der Bekanntmachung vom 29. Juli 1993 (BGBl. I S. 1399), das zuletzt durch Artikel 109 der Verordnung vom 29. Oktober 2001 (BGBl. I S. 2785) geändert worden ist,</w:t>
      </w:r>
    </w:p>
    <w:p>
      <w:pPr>
        <w:ind w:left="420"/>
      </w:pPr>
      <w:r>
        <w:t xml:space="preserve">3. (weggefallen)</w:t>
      </w:r>
    </w:p>
    <w:p>
      <w:pPr>
        <w:ind w:left="420"/>
      </w:pPr>
      <w:r>
        <w:t xml:space="preserve">4. (weggefallen)</w:t>
      </w:r>
    </w:p>
    <w:p>
      <w:pPr>
        <w:ind w:left="420"/>
      </w:pPr>
      <w:r>
        <w:t xml:space="preserve">5. (weggefallen)</w:t>
      </w:r>
    </w:p>
    <w:p>
      <w:pPr>
        <w:ind w:left="420"/>
      </w:pPr>
      <w:r>
        <w:t xml:space="preserve">6. (weggefallen)</w:t>
      </w:r>
    </w:p>
    <w:p>
      <w:pPr>
        <w:ind w:left="420"/>
      </w:pPr>
      <w:r>
        <w:t xml:space="preserve">7. (weggefallen)</w:t>
      </w:r>
    </w:p>
    <w:p>
      <w:pPr>
        <w:ind w:left="420"/>
      </w:pPr>
      <w:r>
        <w:t xml:space="preserve">8. § 7 Abs. 2, § 16 Abs. 1 Satz 1, § 46f, § 47 Abs. 2 und 3 Satz 1 mit den Maßgaben, dass Abs. 2 Nr. 1 und 2 auch für Futtermittel und § 47 Abs. 1 Satz 1 insoweit unbeschadet des § 17 Abs. 1 Satz 1 Nr. 1 des Lebensmittel- und Futtermittelgesetzbuches gilt, § 51 Abs. 1 Nr. 2, 4 und 6, Abs. 1a Nr. 3 und Abs. 2 bis 4, § 52 Abs. 1 Nr. 1, 2, 4 bis 6, 8, 11 und Abs. 2 Nr. 7 und 10, § 53 Abs. 1 - mit Ausnahme der Verweisung auf § 52 Abs. 2 Nr. 3 -, Abs. 2 Nr. 1 Buchstabe a und c, soweit sich dieser auf § 19a Nr. 2 Buchstabe a bezieht, und Buchstabe d und Nr. 2 - mit Ausnahme der Verweisung auf § 52 Abs. 2 Nr. 3 - und Abs. 3, § 54 Abs. 1 Nr. 1 bis 3 und 5 und Abs. 2 Nr. 1 - mit Ausnahme der Verweisung auf § 21 Abs. 1 Nr. 1 Buchstabe h - und Nr. 3 und Abs. 3, die §§ 55 bis 59 und 61 des Lebensmittel- und Bedarfsgegenständegesetzes in der Fassung der Bekanntmachung vom 9. September 1997 (BGBl. I S. 2296), das zuletzt durch Artikel 5 des Gesetzes vom 13. Mai 2004 (BGBl. I S. 934) geändert worden ist,</w:t>
      </w:r>
    </w:p>
    <w:p>
      <w:r>
        <w:t xml:space="preserve">jeweils in der bis zum 6. September 2005 geltenden Fassung weiter anzuwenden.</w:t>
      </w:r>
    </w:p>
    <w:p>
      <w:r>
        <w:t xml:space="preserve">(1a) Auf Bußgeldverfahren, staatsanwaltschaftliche Ermittlungsverfahren oder gerichtliche Verfahren, die vor dem 4. August 2011 eingeleitet worden sind, sind</w:t>
      </w:r>
    </w:p>
    <w:p>
      <w:pPr>
        <w:ind w:left="420"/>
      </w:pPr>
      <w:r>
        <w:t xml:space="preserve">1. die §§ 1 bis 4, 6 Absatz 1 bis 3, § 8 Absatz 1 und 3, die §§ 9 bis 12 Absatz 1, § 13 Absatz 1 bis 3, die §§ 15, 16, 18, 20, 28, 28a, 29 Absatz 1, 2, 3 Nummer 1 und Absatz 4, die §§ 29a bis 29c, 30 und 32 des Fleischhygienegesetzes in der Fassung der Bekanntmachung vom 30. Juni 2003 (BGBl. I S. 1242, 1585), das zuletzt durch Artikel 1 des Gesetzes vom 4. November 2004 (BGBl. I S. 2688, 3657) geändert worden ist, und</w:t>
      </w:r>
    </w:p>
    <w:p>
      <w:pPr>
        <w:ind w:left="420"/>
      </w:pPr>
      <w:r>
        <w:t xml:space="preserve">2. die §§ 1 bis 3, 5 bis 9, 11, 13, 14, 16, 28, 29, 30 Absatz 1, 2, 3 Nummer 1 und Absatz 4, die §§ 30a bis 30c, 31 und 33a des Geflügelfleischhygienegesetzes vom 17. Juli 1996 (BGBl. I S. 991), das zuletzt durch Artikel 2 des Gesetzes vom 13. Mai 2004 (BGBl. I S. 934) geändert worden ist,</w:t>
      </w:r>
    </w:p>
    <w:p>
      <w:r>
        <w:t xml:space="preserve">in der bis zum 6. September 2005 geltenden Fassung hinsichtlich der Verfolgung von Straftaten und Ordnungswidrigkeiten weiter anzuwenden.</w:t>
      </w:r>
    </w:p>
    <w:p>
      <w:r>
        <w:t xml:space="preserve">(2) Auf Sachverhalte, die vor dem 7. September 2005 entstanden sind, sind die Vorschriften der in Absatz 1 genannten Gesetze hinsichtlich der Verfolgung von Straftaten und Ordnungswidrigkeiten weiter anzuwenden.</w:t>
      </w:r>
    </w:p>
    <w:p>
      <w:r>
        <w:t xml:space="preserve">(3) Das Bundesministerium für Ernährung und Landwirtschaft (Bundesministerium) wird ermächtigt, durch Rechtsverordnung mit Zustimmung des Bundesrates, soweit die Ermächtigungen des Lebensmittel- und Futtermittelgesetzbuches nicht ausreichen, auf Grund der in Absatz 1 genannten Gesetze erlassene bundesrechtliche Vorschriften aufzuheben.</w:t>
      </w:r>
    </w:p>
    <w:p>
      <w:r>
        <w:t xml:space="preserve">(4) Das Bundesministerium wird ermächtigt, durch Rechtsverordnung ohne Zustimmung des Bundesrates</w:t>
      </w:r>
    </w:p>
    <w:p>
      <w:pPr>
        <w:ind w:left="420"/>
      </w:pPr>
      <w:r>
        <w:t xml:space="preserve">1. Verweise in bundesrechtlichen Vorschriften außerhalb dieses Gesetzes auf in Absatz 1 genannte Vorschriften durch Verweise auf inhaltsgleiche Vorschriften des Lebensmittel- und Futtermittelgesetzbuches anzupassen, soweit die in Absatz 1 genannten Vorschriften nicht mehr anzuwenden sind,</w:t>
      </w:r>
    </w:p>
    <w:p>
      <w:pPr>
        <w:ind w:left="420"/>
      </w:pPr>
      <w:r>
        <w:t xml:space="preserve">2. zu bestimmen, dass in Absatz 1 genannte Vorschriften nicht mehr anzuwenden sind, soweit in unmittelbar geltenden Vorschriften der Europäischen Gemeinschaft inhaltsgleiche Regelungen getroffen worden sind oder Vorschriften in Rechtsakten der Europäischen Gemeinschaft, deren Umsetzung die in Absatz 1 genannten Vorschriften dienen, aufgehoben worden sind.</w:t>
      </w:r>
    </w:p>
    <w:p>
      <w:r>
        <w:rPr>
          <w:color w:val="555555"/>
          <w:sz w:val="17"/>
        </w:rPr>
        <w:t xml:space="preserve">Zitiervorschlag: § 1 LFÜG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https://recht.nulegal.eu/gesetze/LF%C3%9CG/1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