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LEisenbG (Sachsen) — Eröffnung des Betriebes</w:t>
      </w:r>
    </w:p>
    <w:p>
      <w:r>
        <w:rPr>
          <w:color w:val="555555"/>
          <w:sz w:val="18"/>
        </w:rPr>
        <w:t xml:space="preserve">Landeseisenbahngesetz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Eröffnung des Betriebes einer Eisenbahn des öffentlichen Verkehrs bedarf der Erlaubnis durch die Aufsichtsbehörde. Die Erlaubnis wird erteilt, wenn</w:t>
      </w:r>
    </w:p>
    <w:p>
      <w:r>
        <w:t xml:space="preserve">1. durch eine Abnahme festgestellt ist, daß die Betriebssicherheit gewährleistet ist und</w:t>
      </w:r>
    </w:p>
    <w:p>
      <w:r>
        <w:t xml:space="preserve">2. ein Oberster Betriebsleiter und mindestens ein Stellvertreter bestellt und bestätigt sind.</w:t>
      </w:r>
    </w:p>
    <w:p>
      <w:r>
        <w:t xml:space="preserve">(2) Für wesentliche Erweiterungen und Änderungen der Eisenbahnanlagen gilt Absatz 1 entsprechend.</w:t>
      </w:r>
    </w:p>
    <w:p>
      <w:r>
        <w:rPr>
          <w:color w:val="555555"/>
          <w:sz w:val="17"/>
        </w:rPr>
        <w:t xml:space="preserve">Zitiervorschlag: § 7 LEisenbG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https://recht.nulegal.eu/gesetze/LEisenbG/7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