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LEisenbG (Sachsen) — Gestattung von Anschlüssen</w:t>
      </w:r>
    </w:p>
    <w:p>
      <w:r>
        <w:rPr>
          <w:color w:val="555555"/>
          <w:sz w:val="18"/>
        </w:rPr>
        <w:t xml:space="preserve">Landeseisenbahngesetz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Aufsichtsbehörde kann ein öffentliches Eisenbahninfrastrukturunternehmen unter billiger Regelung der Bedingungen und Kosten verpflichten, den Anschluß einer nichtöffentlichen Eisenbahninfrastruktur zu gestatten.</w:t>
      </w:r>
    </w:p>
    <w:p>
      <w:r>
        <w:rPr>
          <w:color w:val="555555"/>
          <w:sz w:val="17"/>
        </w:rPr>
        <w:t xml:space="preserve">Zitiervorschlag: § 5 LEisenbG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https://recht.nulegal.eu/gesetze/LEisenbG/5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