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LEisenbG (Sachsen) — Begriffsbestimmungen</w:t>
      </w:r>
    </w:p>
    <w:p>
      <w:r>
        <w:rPr>
          <w:color w:val="555555"/>
          <w:sz w:val="18"/>
        </w:rPr>
        <w:t xml:space="preserve">Landeseisenbahngesetz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Eisenbahnen im Sinne dieses Gesetzes sind öffentliche Einrichtungen oder privatrechtlich organisierte Unternehmen, die Eisenbahnverkehrsleistungen erbringen (Eisenbahnverkehrsunternehmen) oder eine Eisenbahninfrastruktur betreiben (Eisenbahninfrastrukturunternehmen).</w:t>
      </w:r>
    </w:p>
    <w:p>
      <w:r>
        <w:t xml:space="preserve">(2) Eisenbahnen dienen dem öffentlichen Verkehr (öffentliche Eisenbahnen), wenn sie als</w:t>
      </w:r>
    </w:p>
    <w:p>
      <w:r>
        <w:t xml:space="preserve">1. Eisenbahnverkehrsunternehmen gewerbs- oder geschäftsmäßig betrieben werden und jedermann sie nach ihrer Zweckbestimmung zur Personen- oder Güterbeförderung benutzen kann (öffentliche Eisenbahnverkehrsunternehmen),</w:t>
      </w:r>
    </w:p>
    <w:p>
      <w:r>
        <w:t xml:space="preserve">2. Eisenbahninfrastrukturunternehmen gewerbs- oder geschäftsmäßig betrieben werden und ihre Schienenwege nach ihrer Zweckbestimmung von jedem Eisenbahnverkehrsunternehmen benutzt werden können (öffentliche Eisenbahninfrastrukturunternehmen).</w:t>
      </w:r>
    </w:p>
    <w:p>
      <w:r>
        <w:t xml:space="preserve">(3) Eisenbahnen, die diese Voraussetzungen nicht erfüllen, sind Eisenbahnen des nichtöffentlichen Verkehrs (nichtöffentliche Eisenbahnen).</w:t>
      </w:r>
    </w:p>
    <w:p>
      <w:r>
        <w:rPr>
          <w:color w:val="555555"/>
          <w:sz w:val="17"/>
        </w:rPr>
        <w:t xml:space="preserve">Zitiervorschlag: § 2 LEisenbG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https://recht.nulegal.eu/gesetze/LEisenbG/2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