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LEisenbG (Sachsen) — Ordnungswidrigkeiten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ohne die nach § 10 Abs. 1 erforderliche Genehmigung eine nichtöffentliche Eisenbahninfrastruktur betreibt oder eine nichtöffentliche Eisenbahnverkehrsleistung erbringt,</w:t>
      </w:r>
    </w:p>
    <w:p>
      <w:r>
        <w:t xml:space="preserve">2. entgegen § 6 oder § 14 Satz 2 in Verbindung mit § 6 keinen Obersten Betriebsleiter oder Eisenbahnbetriebsleiter und nicht mindestens einen Stellvertreter bestellt oder nicht deren Bestätigung erwirkt,</w:t>
      </w:r>
    </w:p>
    <w:p>
      <w:r>
        <w:t xml:space="preserve">3. ohne die nach § 7 oder § 14 Satz 1 in Verbindung mit § 7 erforderliche Erlaubnis den Betrieb einer Eisenbahn eröffnet,</w:t>
      </w:r>
    </w:p>
    <w:p>
      <w:r>
        <w:t xml:space="preserve">4. entgegen § 8 oder § 14 Satz 1 in Verbindung mit § 8 Abs. 1 Satz 1 erste Alt., Abs. 2 und 3</w:t>
      </w:r>
    </w:p>
    <w:p>
      <w:r>
        <w:t xml:space="preserve">a)</w:t>
      </w:r>
    </w:p>
    <w:p>
      <w:r>
        <w:t xml:space="preserve">der Aufsichtbehörde nicht alle Vorkommnisse mitteilt, die für die Betriebssicherheit oder die Leistungsfähigkeit von Bedeutung sein können,</w:t>
      </w:r>
    </w:p>
    <w:p>
      <w:r>
        <w:t xml:space="preserve">b)</w:t>
      </w:r>
    </w:p>
    <w:p>
      <w:r>
        <w:t xml:space="preserve">eine Auskunft nicht, nicht fristgemäß, nicht wahrheitsgemäß oder nicht vollständig erteilt,</w:t>
      </w:r>
    </w:p>
    <w:p>
      <w:r>
        <w:t xml:space="preserve">c)</w:t>
      </w:r>
    </w:p>
    <w:p>
      <w:r>
        <w:t xml:space="preserve">Unterlagen nicht oder nicht vollständig vorlegt oder</w:t>
      </w:r>
    </w:p>
    <w:p>
      <w:r>
        <w:t xml:space="preserve">d)</w:t>
      </w:r>
    </w:p>
    <w:p>
      <w:r>
        <w:t xml:space="preserve">eine Besichtigung nicht duldet,</w:t>
      </w:r>
    </w:p>
    <w:p>
      <w:r>
        <w:t xml:space="preserve">5. ohne die nach § 13 erforderliche Erlaubnis Personen mit einer Eisenbahn des nichtöffentlichen Verkehrs befördert,</w:t>
      </w:r>
    </w:p>
    <w:p>
      <w:r>
        <w:t xml:space="preserve">6. einer aufgrund von § 16 Abs. 2 ergangenen vollziehbaren Anordnung zuwiderhandelt,</w:t>
      </w:r>
    </w:p>
    <w:p>
      <w:r>
        <w:t xml:space="preserve">7. einer nach § 17 Abs. 1 Nr. 1 bis 5 erlassenen Verordnung, soweit diese für einen bestimmten Tatbestand auf diese Bußgeldvorschrift verweist, oder einer aufgrund einer solchen Verordnung ergangenen vollziehbaren Anordnung zuwiderhandelt.</w:t>
      </w:r>
    </w:p>
    <w:p>
      <w:r>
        <w:t xml:space="preserve">(2) Die Ordnungswidrigkeit kann mit einer Geldbuße bis zu 25 000 EUR geahndet werden.</w:t>
      </w:r>
    </w:p>
    <w:p>
      <w:r>
        <w:t xml:space="preserve">(3) Verwaltungsbehörde im Sinne des § 36 Abs. 1 Nr. 1 des Gesetzes über Ordnungswidrigkeiten ( OWiG ) in der Fassung der Bekanntmachung vom 19. Februar 1987 (BGBl. I S. 602), zuletzt geändert durch Artikel 2 des Gesetzes vom 17. März 1997 (BGBl. I S. 534, 535), ist die Behörde, die für den Vollzug der verletzten Vorschrift zuständig ist.</w:t>
      </w:r>
    </w:p>
    <w:p>
      <w:r>
        <w:rPr>
          <w:color w:val="555555"/>
          <w:sz w:val="17"/>
        </w:rPr>
        <w:t xml:space="preserve">Zitiervorschlag: § 19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