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LEisenbG (Sachsen) — Widerruf der Genehmigung</w:t>
      </w:r>
    </w:p>
    <w:p>
      <w:r>
        <w:rPr>
          <w:color w:val="555555"/>
          <w:sz w:val="18"/>
        </w:rPr>
        <w:t xml:space="preserve">Landeseisenbahngesetz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Genehmigungsbehörde kann die Genehmigung eines nichtöffentlichen Eisenbahnunternehmens ganz oder teilweise widerrufen, wenn</w:t>
      </w:r>
    </w:p>
    <w:p>
      <w:r>
        <w:t xml:space="preserve">1. die Voraussetzungen des § 10 Abs. 2 nicht mehr vorliegen,</w:t>
      </w:r>
    </w:p>
    <w:p>
      <w:r>
        <w:t xml:space="preserve">2. die dauernde oder vorübergehende Einstellung des Eisenbahnbetriebes nach § 16 Abs. 2 Satz 2 angeordnet worden ist oder</w:t>
      </w:r>
    </w:p>
    <w:p>
      <w:r>
        <w:t xml:space="preserve">3. über das Vermögen des Unternehmers das Insolvenzverfahren eröffnet oder die Eröffnung mangels Masse abgelehnt wird.</w:t>
      </w:r>
    </w:p>
    <w:p>
      <w:r>
        <w:t xml:space="preserve">§ 10 Abs. 5 gilt entsprechend. § 1 des Gesetzes zur Regelung des Verwaltungsverfahrens- und des Verwaltungszustellungsrechts für den Freistaat Sachsen (SächsVwVfZG) vom 19. Mai 2010 (SächsGVBl. S. 142), in der jeweils geltenden Fassung, in Verbindung mit § 49 des Verwaltungsverfahrensgesetzes ( VwVfG ) in der Fassung der Bekanntmachung vom 23. Januar 2003 (BGBl. I S. 102), das zuletzt durch Artikel 2 Abs. 1 des Gesetzes vom 14. August 2009 (BGBl. I S. 2827, 2839) geändert worden ist, bleibt unberührt.</w:t>
      </w:r>
    </w:p>
    <w:p>
      <w:r>
        <w:rPr>
          <w:color w:val="555555"/>
          <w:sz w:val="17"/>
        </w:rPr>
        <w:t xml:space="preserve">Zitiervorschlag: § 11 LEisenbG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https://recht.nulegal.eu/gesetze/LEisenbG/11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