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LEisenbG (Sachsen) — Genehmigungsverfahren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nichtöffentlichen Eisenbahnen ist zur Erbringung von Eisenbahnverkehrsleistungen und zum Betrieb von Eisenbahninfrastruktur eine Genehmigung erforderlich.</w:t>
      </w:r>
    </w:p>
    <w:p>
      <w:r>
        <w:t xml:space="preserve">(2) Die Genehmigung wird auf Antrag erteilt, wenn</w:t>
      </w:r>
    </w:p>
    <w:p>
      <w:r>
        <w:t xml:space="preserve">1. der Antragsteller als Unternehmer und die für die Führung der Geschäfte bestellten Personen zuverlässig sind,</w:t>
      </w:r>
    </w:p>
    <w:p>
      <w:r>
        <w:t xml:space="preserve">2. der Antragsteller als Unternehmer oder die für die Führung der Geschäfte bestellten Personen die erforderliche Fachkunde haben,</w:t>
      </w:r>
    </w:p>
    <w:p>
      <w:r>
        <w:t xml:space="preserve">3. die Eisenbahn sich ausreichend gegen Ansprüche aufgrund des Haftpflichtgesetzes in der Fassung der Bekanntmachung vom 4. Januar 1978 (BGBl. I S. 145) und aus dem Beförderungsvertrag versichert hat</w:t>
      </w:r>
    </w:p>
    <w:p>
      <w:r>
        <w:t xml:space="preserve">und in den Fällen der Nummern 1 und 2 eine sichere Betriebsführung gewährleistet ist. Die Genehmigungsbehörde kann in den Fällen der Nummern 1 bis 3 im Einzelfall Ausnahmen zulassen.</w:t>
      </w:r>
    </w:p>
    <w:p>
      <w:r>
        <w:t xml:space="preserve">(3) Die Genehmigung wird erteilt für</w:t>
      </w:r>
    </w:p>
    <w:p>
      <w:r>
        <w:t xml:space="preserve">1. das Erbringen einer nach der Verkehrsart bestimmten Eisenbahnverkehrsleistung,</w:t>
      </w:r>
    </w:p>
    <w:p>
      <w:r>
        <w:t xml:space="preserve">2. das Betreiben einer bestimmten Eisenbahninfrastruktur.</w:t>
      </w:r>
    </w:p>
    <w:p>
      <w:r>
        <w:t xml:space="preserve">(4) Die Genehmigung kann mit Nebenbestimmungen versehen und zeitlich befristet werden.</w:t>
      </w:r>
    </w:p>
    <w:p>
      <w:r>
        <w:t xml:space="preserve">(5) Bei Grubenanschlußbahnen, die Einrichtungen im Sinne von § 2 Abs. 1 Nr. 3 Bundesberggesetz (BBergG) vom 13. August 1980 (BGBl. I S. 1310) in der jeweils geltenden Fassung und betriebsplanpflichtig im Sinne von § 51 Abs. 1 BBergG sind, finden die vorstehenden Absätze keine Anwendung.</w:t>
      </w:r>
    </w:p>
    <w:p>
      <w:r>
        <w:rPr>
          <w:color w:val="555555"/>
          <w:sz w:val="17"/>
        </w:rPr>
        <w:t xml:space="preserve">Zitiervorschlag: § 10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