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LEinfG — Inkrafttreten</w:t>
      </w:r>
    </w:p>
    <w:p>
      <w:r>
        <w:rPr>
          <w:color w:val="555555"/>
          <w:sz w:val="18"/>
        </w:rPr>
        <w:t xml:space="preserve">Ländereinführungsgesetz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3. Oktober 1990 in Kraft.</w:t>
      </w:r>
    </w:p>
    <w:p>
      <w:r>
        <w:t xml:space="preserve">(2)</w:t>
      </w:r>
    </w:p>
    <w:p>
      <w:r>
        <w:t xml:space="preserve">(3)</w:t>
      </w:r>
    </w:p>
    <w:p>
      <w:r>
        <w:rPr>
          <w:color w:val="555555"/>
          <w:sz w:val="17"/>
        </w:rPr>
        <w:t xml:space="preserve">Zitiervorschlag: § 25 LEinfG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https://recht.nulegal.eu/gesetze/LEinfG/25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