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LEinfG</w:t>
      </w:r>
    </w:p>
    <w:p>
      <w:r>
        <w:rPr>
          <w:color w:val="555555"/>
          <w:sz w:val="18"/>
        </w:rPr>
        <w:t xml:space="preserve">Ländereinführungsgesetz</w:t>
      </w:r>
    </w:p>
    <w:p>
      <w:r>
        <w:rPr>
          <w:color w:val="555555"/>
          <w:sz w:val="18"/>
        </w:rPr>
        <w:t xml:space="preserve">Stand: 10.06.2019 (konsolidierte Textfassung, kein amtliches Inkrafttretensdatum)</w:t>
      </w:r>
    </w:p>
    <w:p>
      <w:r>
        <w:t xml:space="preserve">(1)</w:t>
      </w:r>
    </w:p>
    <w:p>
      <w:r>
        <w:t xml:space="preserve">(2) Der erstgewählte Landtag, dem zugleich die Aufgabe einer verfassungsgebenden Landesversammlung obliegt, tritt spätestens am 14. Tag nach der Wahl zusammen. Spätestens am 20. Tag nach seinem Zusammentritt hat er eine vorläufige Landesregierung zu bilden.</w:t>
      </w:r>
    </w:p>
    <w:p>
      <w:r>
        <w:t xml:space="preserve">(3) Nach Inkrafttreten der Landesverfassung wird die Landesregierung nach den Bestimmungen dieser Verfassung gebildet.</w:t>
      </w:r>
    </w:p>
    <w:p>
      <w:r>
        <w:rPr>
          <w:color w:val="555555"/>
          <w:sz w:val="17"/>
        </w:rPr>
        <w:t xml:space="preserve">Zitiervorschlag: § 23 LEinfG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https://recht.nulegal.eu/gesetze/LEinfG/23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