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LEinfG</w:t>
      </w:r>
    </w:p>
    <w:p>
      <w:r>
        <w:rPr>
          <w:color w:val="555555"/>
          <w:sz w:val="18"/>
        </w:rPr>
        <w:t xml:space="preserve">Ländereinführungsgesetz</w:t>
      </w:r>
    </w:p>
    <w:p>
      <w:r>
        <w:rPr>
          <w:color w:val="555555"/>
          <w:sz w:val="18"/>
        </w:rPr>
        <w:t xml:space="preserve">Stand: 10.06.2019 (konsolidierte Textfassung, kein amtliches Inkrafttretensdatum)</w:t>
      </w:r>
    </w:p>
    <w:p>
      <w:r>
        <w:t xml:space="preserve">(1)</w:t>
      </w:r>
    </w:p>
    <w:p>
      <w:r>
        <w:t xml:space="preserve">(2) Änderungen von Grenzen der Länder der DDR, die im Ergebnis von Bürgerbefragungen in Gemeinden und Städten begehrt werden und von der Gemeindevertretung bzw. Stadtverordnetenversammlung beschlossen wurden, bedürfen eines Staatsvertrages zwischen den beteiligten Ländern.</w:t>
      </w:r>
    </w:p>
    <w:p>
      <w:r>
        <w:t xml:space="preserve">(3) Wollen Gemeinden oder Städte nach der Länderbildung in das Land zurückkehren, dem sie am 23. Juli 1952 angehörten, ist ihrem in Bürgerbefragungen bekundeten und durch die Volksvertretungen bestätigten Willen stattzugeben, sofern dadurch keine Ex- bzw. Enklaven entstehen.</w:t>
      </w:r>
    </w:p>
    <w:p>
      <w:r>
        <w:rPr>
          <w:color w:val="555555"/>
          <w:sz w:val="17"/>
        </w:rPr>
        <w:t xml:space="preserve">Zitiervorschlag: § 2 LEinfG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https://recht.nulegal.eu/gesetze/LEinfG/2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