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LESchVO NRW (Nordrhein-Westfalen) — Verpflichtungen der Betriebsinhaber</w:t>
      </w:r>
    </w:p>
    <w:p>
      <w:r>
        <w:rPr>
          <w:color w:val="555555"/>
          <w:sz w:val="18"/>
        </w:rPr>
        <w:t xml:space="preserve">Landeserosionsschutzverordnung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Betriebsinhaberinnen und Betriebsinhaber haben die sich aus der Zuordnung von Feldblöcken zu Erosionsgefährdungsklassen ergebenden Anforderungen des § 16 Absatz 2 bis 4 der GAP-Konditionalitäten-Verordnung zu beachten. § 7 bleibt unberührt.</w:t>
      </w:r>
    </w:p>
    <w:p>
      <w:r>
        <w:t xml:space="preserve">(2) Die gemäß § 3 Absatz 5 mit Wirkung zum 15. Dezember eines Jahres eintretenden Änderungen in der Zuordnung von Feldblöcken zu Erosionsgefährdungsklassen sind von Betriebsinhaberinnen und Betriebsinhabern jeweils ab dem 1. Juli des Folgejahres zu beachten.</w:t>
      </w:r>
    </w:p>
    <w:p>
      <w:r>
        <w:rPr>
          <w:color w:val="555555"/>
          <w:sz w:val="17"/>
        </w:rPr>
        <w:t xml:space="preserve">Zitiervorschlag: § 6 LESchVO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https://recht.nulegal.eu/gesetze/LESchVO%20NRW/6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