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LEP (Bayern) — Inkrafttreten, Außerkrafttreten</w:t>
      </w:r>
    </w:p>
    <w:p>
      <w:r>
        <w:rPr>
          <w:color w:val="555555"/>
          <w:sz w:val="18"/>
        </w:rPr>
        <w:t xml:space="preserve">Verordnung über das Landesentwicklungsprogramm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September 2013 in Kraft. Es treten außer Kraft:</w:t>
      </w:r>
    </w:p>
    <w:p>
      <w:r>
        <w:t xml:space="preserve">1. § 3 mit Ablauf des 31. Dezember 2026 und</w:t>
      </w:r>
    </w:p>
    <w:p>
      <w:r>
        <w:t xml:space="preserve">2. § 3a mit Ablauf des 31. Dezember 2028.</w:t>
      </w:r>
    </w:p>
    <w:p>
      <w:r>
        <w:rPr>
          <w:color w:val="555555"/>
          <w:sz w:val="17"/>
        </w:rPr>
        <w:t xml:space="preserve">Zitiervorschlag: § 4 LEP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https://recht.nulegal.eu/gesetze/LEP/4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