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LEP (Bayern) — Anpassung der Regionalpläne</w:t>
      </w:r>
    </w:p>
    <w:p>
      <w:r>
        <w:rPr>
          <w:color w:val="555555"/>
          <w:sz w:val="18"/>
        </w:rPr>
        <w:t xml:space="preserve">Verordnung über das Landesentwicklungsprogramm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Regionalpläne sind innerhalb von drei Jahren nach dem 1. Juni 2023 an das Bayerische Landesplanungsgesetz und an das Landesentwicklungsprogramm Bayern anzupassen.</w:t>
      </w:r>
    </w:p>
    <w:p>
      <w:r>
        <w:t xml:space="preserve">(2) Die bestehenden Kleinzentren, Unterzentren und Siedlungsschwerpunkte werden bis zur Anpassung der Regionalpläne als Zentrale Orte der Grundversorgung einem Grundzentrum gleichgestellt. Dies gilt nicht für die Region Donau-Iller.</w:t>
      </w:r>
    </w:p>
    <w:p>
      <w:r>
        <w:rPr>
          <w:color w:val="555555"/>
          <w:sz w:val="17"/>
        </w:rPr>
        <w:t xml:space="preserve">Zitiervorschlag: § 2 LEP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https://recht.nulegal.eu/gesetze/LEP/2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