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85 LDG (Brandenburg) — Ermittlungen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 Beamter auf Probe kann nach § 23 Abs. 3 Satz 1 Nr. 1 des Beamtenstatusgesetzes nur entlassen werden, nachdem die für die Erhebung der Disziplinarklage zuständige Behörde oder Einrichtung nach den Bestimmungen dieses Gesetzes Ermittlungen durchgeführt hat.</w:t>
      </w:r>
    </w:p>
    <w:p>
      <w:r>
        <w:t xml:space="preserve">(2) Ein Beamter auf Probe kann die Durchführung von Ermittlungen nach Absatz 1 beantragen, um sich von dem Verdacht eines Dienstvergehens zu entlasten; § 19 gilt entsprechend.</w:t>
      </w:r>
    </w:p>
    <w:p>
      <w:r>
        <w:t xml:space="preserve">(3) Bei einem Beamten auf Widerruf, der wegen eines Dienstvergehens entlassen werden soll oder der sich von dem Verdacht eines Dienstvergehens entlasten will, gelten die Absätze 1 und 2 entsprechend.</w:t>
      </w:r>
    </w:p>
    <w:p>
      <w:r>
        <w:rPr>
          <w:color w:val="555555"/>
          <w:sz w:val="17"/>
        </w:rPr>
        <w:t xml:space="preserve">Zitiervorschlag: § 85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