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82 LDG (Brandenburg) — Begnadigung</w:t>
      </w:r>
    </w:p>
    <w:p>
      <w:r>
        <w:rPr>
          <w:color w:val="555555"/>
          <w:sz w:val="18"/>
        </w:rPr>
        <w:t xml:space="preserve">Landesdisziplinargesetz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Dem Ministerpräsidenten steht das Begnadigungsrecht in Disziplinarsachen nach diesem Gesetz zu. Er kann es anderen Stellen übertragen.</w:t>
      </w:r>
    </w:p>
    <w:p>
      <w:r>
        <w:t xml:space="preserve">(2) Wird die Entfernung aus dem Beamtenverhältnis oder die Aberkennung des Ruhegehalts im Gnadenweg aufgehoben, gilt § 36 Abs. 2 des Landesbeamtengesetzes entsprechend.</w:t>
      </w:r>
    </w:p>
    <w:p>
      <w:r>
        <w:rPr>
          <w:color w:val="555555"/>
          <w:sz w:val="17"/>
        </w:rPr>
        <w:t xml:space="preserve">Zitiervorschlag: § 82 LDG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https://recht.nulegal.eu/gesetze/LDG/82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