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LDG (Brandenburg) — Kostentragung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Kostentragungspflicht der Beteiligten gelten die Bestimmungen der Verwaltungsgerichtsordnung entsprechend, sofern sich aus den nachfolgenden Vorschriften nichts anderes ergibt.</w:t>
      </w:r>
    </w:p>
    <w:p>
      <w:r>
        <w:t xml:space="preserve">(2) Wird eine Disziplinarverfügung trotz Vorliegens eines Dienstvergehens aufgehoben, können die Kosten ganz oder teilweise dem Beamten auferlegt werden.</w:t>
      </w:r>
    </w:p>
    <w:p>
      <w:r>
        <w:t xml:space="preserve">(3) Wird das Disziplinarverfahren nach § 63 Abs. 3 eingestellt, trägt der Dienstherr die Kosten des Verfahrens.</w:t>
      </w:r>
    </w:p>
    <w:p>
      <w:r>
        <w:rPr>
          <w:color w:val="555555"/>
          <w:sz w:val="17"/>
        </w:rPr>
        <w:t xml:space="preserve">Zitiervorschlag: § 78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