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LDG (Brandenburg) — Rechtswirkungen, Entschädigung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in einem Wiederaufnahmeverfahren das angefochtene Urteil zugunsten des Beamten aufgehoben, erhält dieser von dem Eintritt der Rechtskraft des aufgehobenen Urteils an die Rechtsstellung, die er erhalten hätte, wenn das aufgehobene Urteil der Entscheidung entsprochen hätte, die im Wiederaufnahmeverfahren ergangen ist. Wurde in dem aufgehobenen Urteil die Entfernung aus dem Beamtenverhältnis oder die Aberkennung des Ruhegehalts bestätigt, gilt § 35 des Landesbeamtengesetzes entsprechend.</w:t>
      </w:r>
    </w:p>
    <w:p>
      <w:r>
        <w:t xml:space="preserve">(2) Der Beamte und die Personen, denen er kraft Gesetzes unterhaltspflichtig ist, können im Falle des Absatzes 1 neben den hiernach nachträglich zu gewährenden Bezügen in entsprechender Anwendung des Gesetzes über die Entschädigung für Strafverfolgungsmaßnahmen vom 8. März 1971 ( BGBl. I S. 157) in der jeweils geltenden Fassung Ersatz des sonstigen Schadens vom Dienstherrn verlangen. Der Anspruch ist innerhalb von drei Monaten nach dem rechtskräftigen Abschluss des Wiederaufnahmeverfahrens bei der für den Erlass der Disziplinarverfügung zuständigen Behörde oder Einrichtung geltend zu machen. Ihre Entscheidung ist dem Antragsteller zuzustellen. Lehnt sie den Anspruch ab, gelten für seine Weiterverfolgung die Vorschriften über den Rechtsweg für Klagen aus dem Beamtenverhältnis.</w:t>
      </w:r>
    </w:p>
    <w:p>
      <w:r>
        <w:rPr>
          <w:color w:val="555555"/>
          <w:sz w:val="17"/>
        </w:rPr>
        <w:t xml:space="preserve">Zitiervorschlag: § 77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